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C4" w:rsidRPr="0016678F" w:rsidRDefault="006544C4" w:rsidP="00DD3422">
      <w:pPr>
        <w:jc w:val="center"/>
        <w:rPr>
          <w:lang w:val="fr-FR"/>
        </w:rPr>
      </w:pPr>
      <w:bookmarkStart w:id="0" w:name="_GoBack"/>
      <w:bookmarkEnd w:id="0"/>
    </w:p>
    <w:p w:rsidR="006544C4" w:rsidRPr="0016678F" w:rsidRDefault="006544C4" w:rsidP="00DD3422">
      <w:pPr>
        <w:jc w:val="center"/>
        <w:rPr>
          <w:lang w:val="fr-FR"/>
        </w:rPr>
      </w:pPr>
    </w:p>
    <w:p w:rsidR="006544C4" w:rsidRPr="0016678F" w:rsidRDefault="00DC23CA" w:rsidP="00DD3422">
      <w:pPr>
        <w:pStyle w:val="DecHTitle"/>
        <w:rPr>
          <w:lang w:val="fr-FR"/>
        </w:rPr>
      </w:pPr>
      <w:r>
        <w:rPr>
          <w:szCs w:val="24"/>
          <w:lang w:val="fr-FR"/>
        </w:rPr>
        <w:t>QUATRIÈME SECTION</w:t>
      </w:r>
    </w:p>
    <w:p w:rsidR="006544C4" w:rsidRPr="0016678F" w:rsidRDefault="006544C4" w:rsidP="00DD3422">
      <w:pPr>
        <w:pStyle w:val="DecHTitle"/>
        <w:rPr>
          <w:caps/>
          <w:sz w:val="32"/>
          <w:lang w:val="fr-FR"/>
        </w:rPr>
      </w:pPr>
      <w:r w:rsidRPr="0016678F">
        <w:rPr>
          <w:lang w:val="fr-FR"/>
        </w:rPr>
        <w:t>DÉCISION</w:t>
      </w:r>
    </w:p>
    <w:p w:rsidR="006544C4" w:rsidRPr="0016678F" w:rsidRDefault="00DC23CA" w:rsidP="00DD3422">
      <w:pPr>
        <w:pStyle w:val="ECHRTitleCentre2"/>
        <w:rPr>
          <w:lang w:val="fr-FR"/>
        </w:rPr>
      </w:pPr>
      <w:r w:rsidRPr="0016678F">
        <w:rPr>
          <w:lang w:val="fr-FR"/>
        </w:rPr>
        <w:t>Requête n</w:t>
      </w:r>
      <w:r w:rsidRPr="0016678F">
        <w:rPr>
          <w:vertAlign w:val="superscript"/>
          <w:lang w:val="fr-FR"/>
        </w:rPr>
        <w:t>o</w:t>
      </w:r>
      <w:r w:rsidR="006544C4" w:rsidRPr="0016678F">
        <w:rPr>
          <w:lang w:val="fr-FR"/>
        </w:rPr>
        <w:t xml:space="preserve"> </w:t>
      </w:r>
      <w:r>
        <w:rPr>
          <w:lang w:val="fr-FR"/>
        </w:rPr>
        <w:t>9713/13</w:t>
      </w:r>
      <w:r w:rsidR="006544C4" w:rsidRPr="0016678F">
        <w:rPr>
          <w:lang w:val="fr-FR"/>
        </w:rPr>
        <w:br/>
      </w:r>
      <w:r>
        <w:rPr>
          <w:lang w:val="fr-FR"/>
        </w:rPr>
        <w:t>Rodolfo</w:t>
      </w:r>
      <w:r w:rsidRPr="0016678F">
        <w:rPr>
          <w:lang w:val="fr-FR"/>
        </w:rPr>
        <w:t xml:space="preserve"> </w:t>
      </w:r>
      <w:r>
        <w:rPr>
          <w:lang w:val="fr-FR"/>
        </w:rPr>
        <w:t>VIVIANI</w:t>
      </w:r>
      <w:r w:rsidRPr="0016678F">
        <w:rPr>
          <w:lang w:val="fr-FR"/>
        </w:rPr>
        <w:t xml:space="preserve"> et autres</w:t>
      </w:r>
      <w:r w:rsidRPr="0016678F">
        <w:rPr>
          <w:lang w:val="fr-FR"/>
        </w:rPr>
        <w:br/>
      </w:r>
      <w:r w:rsidR="006544C4" w:rsidRPr="0016678F">
        <w:rPr>
          <w:lang w:val="fr-FR"/>
        </w:rPr>
        <w:t xml:space="preserve">contre </w:t>
      </w:r>
      <w:r w:rsidRPr="0016678F">
        <w:rPr>
          <w:lang w:val="fr-FR"/>
        </w:rPr>
        <w:t>l</w:t>
      </w:r>
      <w:r w:rsidR="008D0C03">
        <w:rPr>
          <w:lang w:val="fr-FR"/>
        </w:rPr>
        <w:t>’</w:t>
      </w:r>
      <w:r>
        <w:rPr>
          <w:lang w:val="fr-FR"/>
        </w:rPr>
        <w:t>Italie</w:t>
      </w:r>
    </w:p>
    <w:p w:rsidR="00DC23CA" w:rsidRPr="0072720E" w:rsidRDefault="00DC23CA" w:rsidP="00DD3422">
      <w:pPr>
        <w:pStyle w:val="ECHRPara"/>
        <w:rPr>
          <w:lang w:val="fr-FR"/>
        </w:rPr>
      </w:pPr>
      <w:r w:rsidRPr="0072720E">
        <w:rPr>
          <w:lang w:val="fr-FR"/>
        </w:rPr>
        <w:t>La Cour européenne des droits de l</w:t>
      </w:r>
      <w:r w:rsidR="008D0C03">
        <w:rPr>
          <w:lang w:val="fr-FR"/>
        </w:rPr>
        <w:t>’</w:t>
      </w:r>
      <w:r w:rsidRPr="0072720E">
        <w:rPr>
          <w:lang w:val="fr-FR"/>
        </w:rPr>
        <w:t>homme (</w:t>
      </w:r>
      <w:r>
        <w:rPr>
          <w:lang w:val="fr-FR"/>
        </w:rPr>
        <w:t>quatrième section</w:t>
      </w:r>
      <w:r w:rsidRPr="0072720E">
        <w:rPr>
          <w:lang w:val="fr-FR"/>
        </w:rPr>
        <w:t xml:space="preserve">), siégeant le </w:t>
      </w:r>
      <w:r>
        <w:rPr>
          <w:lang w:val="fr-FR"/>
        </w:rPr>
        <w:t>24 mars 2015</w:t>
      </w:r>
      <w:r w:rsidRPr="0072720E">
        <w:rPr>
          <w:lang w:val="fr-FR"/>
        </w:rPr>
        <w:t xml:space="preserve"> en une </w:t>
      </w:r>
      <w:r>
        <w:rPr>
          <w:lang w:val="fr-FR"/>
        </w:rPr>
        <w:t>Chambre</w:t>
      </w:r>
      <w:r w:rsidRPr="0072720E">
        <w:rPr>
          <w:lang w:val="fr-FR"/>
        </w:rPr>
        <w:t xml:space="preserve"> composée de :</w:t>
      </w:r>
    </w:p>
    <w:p w:rsidR="00DC23CA" w:rsidRPr="00DC23CA" w:rsidRDefault="00DC23CA" w:rsidP="00534AC3">
      <w:pPr>
        <w:pStyle w:val="ECHRDecisionBody"/>
        <w:rPr>
          <w:lang w:val="fr-FR"/>
        </w:rPr>
      </w:pPr>
      <w:r w:rsidRPr="00DC23CA">
        <w:rPr>
          <w:lang w:val="fr-FR"/>
        </w:rPr>
        <w:tab/>
        <w:t>Päivi Hirvelä,</w:t>
      </w:r>
      <w:r w:rsidRPr="00DC23CA">
        <w:rPr>
          <w:i/>
          <w:lang w:val="fr-FR"/>
        </w:rPr>
        <w:t xml:space="preserve"> présidente,</w:t>
      </w:r>
      <w:r w:rsidRPr="00DC23CA">
        <w:rPr>
          <w:i/>
          <w:lang w:val="fr-FR"/>
        </w:rPr>
        <w:br/>
      </w:r>
      <w:r w:rsidRPr="00DC23CA">
        <w:rPr>
          <w:lang w:val="fr-FR"/>
        </w:rPr>
        <w:tab/>
        <w:t>Guido Raimondi,</w:t>
      </w:r>
      <w:r w:rsidRPr="00DC23CA">
        <w:rPr>
          <w:i/>
          <w:lang w:val="fr-FR"/>
        </w:rPr>
        <w:br/>
      </w:r>
      <w:r w:rsidRPr="00DC23CA">
        <w:rPr>
          <w:lang w:val="fr-FR"/>
        </w:rPr>
        <w:tab/>
        <w:t>George Nicolaou,</w:t>
      </w:r>
      <w:r w:rsidRPr="00DC23CA">
        <w:rPr>
          <w:i/>
          <w:lang w:val="fr-FR"/>
        </w:rPr>
        <w:br/>
      </w:r>
      <w:r w:rsidRPr="00DC23CA">
        <w:rPr>
          <w:lang w:val="fr-FR"/>
        </w:rPr>
        <w:tab/>
        <w:t>Ledi Bianku,</w:t>
      </w:r>
      <w:r w:rsidRPr="00DC23CA">
        <w:rPr>
          <w:i/>
          <w:lang w:val="fr-FR"/>
        </w:rPr>
        <w:br/>
      </w:r>
      <w:r w:rsidRPr="00DC23CA">
        <w:rPr>
          <w:lang w:val="fr-FR"/>
        </w:rPr>
        <w:tab/>
        <w:t>Paul Mahoney,</w:t>
      </w:r>
      <w:r w:rsidRPr="00DC23CA">
        <w:rPr>
          <w:i/>
          <w:lang w:val="fr-FR"/>
        </w:rPr>
        <w:br/>
      </w:r>
      <w:r w:rsidRPr="00DC23CA">
        <w:rPr>
          <w:lang w:val="fr-FR"/>
        </w:rPr>
        <w:tab/>
        <w:t>Krzysztof Wojtyczek,</w:t>
      </w:r>
      <w:r w:rsidRPr="00DC23CA">
        <w:rPr>
          <w:i/>
          <w:lang w:val="fr-FR"/>
        </w:rPr>
        <w:br/>
      </w:r>
      <w:r w:rsidRPr="00DC23CA">
        <w:rPr>
          <w:lang w:val="fr-FR"/>
        </w:rPr>
        <w:tab/>
        <w:t>Faris Vehabović,</w:t>
      </w:r>
      <w:r w:rsidRPr="00DC23CA">
        <w:rPr>
          <w:i/>
          <w:lang w:val="fr-FR"/>
        </w:rPr>
        <w:t xml:space="preserve"> juges,</w:t>
      </w:r>
    </w:p>
    <w:p w:rsidR="00DC23CA" w:rsidRPr="0072720E" w:rsidRDefault="00DC23CA" w:rsidP="00534AC3">
      <w:pPr>
        <w:pStyle w:val="ECHRDecisionBody"/>
        <w:rPr>
          <w:lang w:val="fr-FR"/>
        </w:rPr>
      </w:pPr>
      <w:r w:rsidRPr="0072720E">
        <w:rPr>
          <w:lang w:val="fr-FR"/>
        </w:rPr>
        <w:t xml:space="preserve">et de </w:t>
      </w:r>
      <w:r>
        <w:rPr>
          <w:lang w:val="fr-FR"/>
        </w:rPr>
        <w:t>Françoise</w:t>
      </w:r>
      <w:r w:rsidRPr="0072720E">
        <w:rPr>
          <w:lang w:val="fr-FR"/>
        </w:rPr>
        <w:t xml:space="preserve"> </w:t>
      </w:r>
      <w:r>
        <w:rPr>
          <w:lang w:val="fr-FR"/>
        </w:rPr>
        <w:t>Elens-Passos</w:t>
      </w:r>
      <w:r w:rsidRPr="0072720E">
        <w:rPr>
          <w:lang w:val="fr-FR"/>
        </w:rPr>
        <w:t xml:space="preserve">, </w:t>
      </w:r>
      <w:r w:rsidRPr="0072720E">
        <w:rPr>
          <w:i/>
          <w:lang w:val="fr-FR"/>
        </w:rPr>
        <w:t>greffière</w:t>
      </w:r>
      <w:r w:rsidRPr="0072720E">
        <w:rPr>
          <w:i/>
          <w:iCs/>
          <w:lang w:val="fr-FR"/>
        </w:rPr>
        <w:t xml:space="preserve"> d</w:t>
      </w:r>
      <w:r w:rsidRPr="0072720E">
        <w:rPr>
          <w:i/>
          <w:lang w:val="fr-FR"/>
        </w:rPr>
        <w:t>e section,</w:t>
      </w:r>
    </w:p>
    <w:p w:rsidR="00DC23CA" w:rsidRPr="0072720E" w:rsidRDefault="00DC23CA" w:rsidP="00DD3422">
      <w:pPr>
        <w:pStyle w:val="ECHRPara"/>
        <w:rPr>
          <w:lang w:val="fr-FR"/>
        </w:rPr>
      </w:pPr>
      <w:r w:rsidRPr="0072720E">
        <w:rPr>
          <w:lang w:val="fr-FR"/>
        </w:rPr>
        <w:t xml:space="preserve">Vu la requête susmentionnée introduite le </w:t>
      </w:r>
      <w:r>
        <w:rPr>
          <w:lang w:val="fr-FR"/>
        </w:rPr>
        <w:t>28 janvier 2013</w:t>
      </w:r>
      <w:r w:rsidRPr="0072720E">
        <w:rPr>
          <w:lang w:val="fr-FR"/>
        </w:rPr>
        <w:t>,</w:t>
      </w:r>
    </w:p>
    <w:p w:rsidR="00DC23CA" w:rsidRPr="0072720E" w:rsidRDefault="00DC23CA" w:rsidP="00DD3422">
      <w:pPr>
        <w:pStyle w:val="ECHRPara"/>
        <w:rPr>
          <w:lang w:val="fr-FR"/>
        </w:rPr>
      </w:pPr>
      <w:r w:rsidRPr="0072720E">
        <w:rPr>
          <w:lang w:val="fr-FR"/>
        </w:rPr>
        <w:t>Vu la décision de traiter en priorité la requête en vertu de l</w:t>
      </w:r>
      <w:r w:rsidR="008D0C03">
        <w:rPr>
          <w:lang w:val="fr-FR"/>
        </w:rPr>
        <w:t>’</w:t>
      </w:r>
      <w:r w:rsidRPr="0072720E">
        <w:rPr>
          <w:lang w:val="fr-FR"/>
        </w:rPr>
        <w:t>article 41 du règlement de la Cour.</w:t>
      </w:r>
    </w:p>
    <w:p w:rsidR="00DC23CA" w:rsidRDefault="00DC23CA" w:rsidP="00DD3422">
      <w:pPr>
        <w:pStyle w:val="ECHRPara"/>
        <w:rPr>
          <w:lang w:val="fr-FR"/>
        </w:rPr>
      </w:pPr>
      <w:r w:rsidRPr="0072720E">
        <w:rPr>
          <w:lang w:val="fr-FR"/>
        </w:rPr>
        <w:t>Après en avoir délibéré, rend la décision suivante :</w:t>
      </w:r>
    </w:p>
    <w:p w:rsidR="00DC23CA" w:rsidRPr="0072720E" w:rsidRDefault="00DC23CA" w:rsidP="00DD3422">
      <w:pPr>
        <w:pStyle w:val="ECHRTitle1"/>
        <w:rPr>
          <w:lang w:val="fr-FR"/>
        </w:rPr>
      </w:pPr>
      <w:r w:rsidRPr="0072720E">
        <w:rPr>
          <w:lang w:val="fr-FR"/>
        </w:rPr>
        <w:t>EN FAIT</w:t>
      </w:r>
    </w:p>
    <w:p w:rsidR="00DC23CA" w:rsidRPr="0072720E" w:rsidRDefault="00DC23CA" w:rsidP="00DD3422">
      <w:pPr>
        <w:pStyle w:val="ECHRPara"/>
        <w:rPr>
          <w:lang w:val="fr-FR"/>
        </w:rPr>
      </w:pPr>
      <w:r w:rsidRPr="0072720E">
        <w:rPr>
          <w:lang w:val="fr-FR"/>
        </w:rPr>
        <w:t>La liste des parties requérantes figure en annexe.</w:t>
      </w:r>
    </w:p>
    <w:p w:rsidR="00DC23CA" w:rsidRPr="0072720E" w:rsidRDefault="00DC23CA" w:rsidP="00DD3422">
      <w:pPr>
        <w:pStyle w:val="ECHRHeading2"/>
        <w:rPr>
          <w:lang w:val="fr-FR"/>
        </w:rPr>
      </w:pPr>
      <w:r w:rsidRPr="0072720E">
        <w:rPr>
          <w:lang w:val="fr-FR"/>
        </w:rPr>
        <w:t>A.  Les circonstances de l</w:t>
      </w:r>
      <w:r w:rsidR="008D0C03">
        <w:rPr>
          <w:lang w:val="fr-FR"/>
        </w:rPr>
        <w:t>’</w:t>
      </w:r>
      <w:r w:rsidRPr="0072720E">
        <w:rPr>
          <w:lang w:val="fr-FR"/>
        </w:rPr>
        <w:t>espèce</w:t>
      </w:r>
    </w:p>
    <w:p w:rsidR="00DC23CA" w:rsidRDefault="00DC23CA" w:rsidP="00DD3422">
      <w:pPr>
        <w:pStyle w:val="ECHRPara"/>
        <w:rPr>
          <w:lang w:val="fr-FR"/>
        </w:rPr>
      </w:pPr>
      <w:r>
        <w:rPr>
          <w:lang w:val="fr-FR"/>
        </w:rPr>
        <w:t>1.  </w:t>
      </w:r>
      <w:r w:rsidRPr="0072720E">
        <w:rPr>
          <w:lang w:val="fr-FR"/>
        </w:rPr>
        <w:t>Les faits de la cause, tels qu</w:t>
      </w:r>
      <w:r w:rsidR="008D0C03">
        <w:rPr>
          <w:lang w:val="fr-FR"/>
        </w:rPr>
        <w:t>’</w:t>
      </w:r>
      <w:r w:rsidRPr="0072720E">
        <w:rPr>
          <w:lang w:val="fr-FR"/>
        </w:rPr>
        <w:t xml:space="preserve">ils ont été exposés par les </w:t>
      </w:r>
      <w:r>
        <w:rPr>
          <w:lang w:val="fr-FR"/>
        </w:rPr>
        <w:t>parties</w:t>
      </w:r>
      <w:r w:rsidRPr="0072720E">
        <w:rPr>
          <w:lang w:val="fr-FR"/>
        </w:rPr>
        <w:t>, peuvent se résumer comme suit.</w:t>
      </w:r>
    </w:p>
    <w:p w:rsidR="00DC23CA" w:rsidRDefault="00534AC3" w:rsidP="00DD3422">
      <w:pPr>
        <w:pStyle w:val="ECHRHeading3"/>
        <w:rPr>
          <w:lang w:val="fr-FR"/>
        </w:rPr>
      </w:pPr>
      <w:r>
        <w:rPr>
          <w:lang w:val="fr-FR"/>
        </w:rPr>
        <w:lastRenderedPageBreak/>
        <w:t>1.  </w:t>
      </w:r>
      <w:r w:rsidR="00DC23CA">
        <w:rPr>
          <w:lang w:val="fr-FR"/>
        </w:rPr>
        <w:t>Le contexte de l</w:t>
      </w:r>
      <w:r w:rsidR="008D0C03">
        <w:rPr>
          <w:lang w:val="fr-FR"/>
        </w:rPr>
        <w:t>’</w:t>
      </w:r>
      <w:r w:rsidR="00DC23CA">
        <w:rPr>
          <w:lang w:val="fr-FR"/>
        </w:rPr>
        <w:t>affaire</w:t>
      </w:r>
    </w:p>
    <w:p w:rsidR="00DC23CA" w:rsidRPr="005D5D2B" w:rsidRDefault="00DC23CA" w:rsidP="00DD3422">
      <w:pPr>
        <w:pStyle w:val="ECHRPara"/>
        <w:rPr>
          <w:lang w:val="fr-FR"/>
        </w:rPr>
      </w:pPr>
      <w:r>
        <w:rPr>
          <w:lang w:val="fr-FR"/>
        </w:rPr>
        <w:t>2.  </w:t>
      </w:r>
      <w:r w:rsidRPr="00CA3B6C">
        <w:rPr>
          <w:lang w:val="fr-FR"/>
        </w:rPr>
        <w:t xml:space="preserve">Les requérants </w:t>
      </w:r>
      <w:r>
        <w:rPr>
          <w:lang w:val="fr-FR"/>
        </w:rPr>
        <w:t>résident</w:t>
      </w:r>
      <w:r w:rsidRPr="00CA3B6C">
        <w:rPr>
          <w:lang w:val="fr-FR"/>
        </w:rPr>
        <w:t xml:space="preserve"> dans différentes communes situées dans une zone </w:t>
      </w:r>
      <w:r>
        <w:rPr>
          <w:lang w:val="fr-FR"/>
        </w:rPr>
        <w:t>limitrophe</w:t>
      </w:r>
      <w:r w:rsidRPr="00CA3B6C">
        <w:rPr>
          <w:lang w:val="fr-FR"/>
        </w:rPr>
        <w:t xml:space="preserve"> au Vésuve</w:t>
      </w:r>
      <w:r>
        <w:rPr>
          <w:lang w:val="fr-FR"/>
        </w:rPr>
        <w:t>, volcan actif actuellement en sommeil situé à proximité de la ville de Naples, dans la Région Campanie</w:t>
      </w:r>
      <w:r w:rsidRPr="00CA3B6C">
        <w:rPr>
          <w:lang w:val="fr-FR"/>
        </w:rPr>
        <w:t xml:space="preserve">. </w:t>
      </w:r>
      <w:r w:rsidRPr="005D5D2B">
        <w:rPr>
          <w:lang w:val="fr-FR"/>
        </w:rPr>
        <w:t xml:space="preserve">La </w:t>
      </w:r>
      <w:r>
        <w:rPr>
          <w:lang w:val="fr-FR"/>
        </w:rPr>
        <w:t>zone</w:t>
      </w:r>
      <w:r w:rsidRPr="005D5D2B">
        <w:rPr>
          <w:lang w:val="fr-FR"/>
        </w:rPr>
        <w:t xml:space="preserve"> en cause a été class</w:t>
      </w:r>
      <w:r>
        <w:rPr>
          <w:lang w:val="fr-FR"/>
        </w:rPr>
        <w:t>ée « rouge » par la Protection c</w:t>
      </w:r>
      <w:r w:rsidRPr="005D5D2B">
        <w:rPr>
          <w:lang w:val="fr-FR"/>
        </w:rPr>
        <w:t>ivile en raison des risques majeurs encourus par ses habitants en cas d</w:t>
      </w:r>
      <w:r w:rsidR="008D0C03">
        <w:rPr>
          <w:lang w:val="fr-FR"/>
        </w:rPr>
        <w:t>’</w:t>
      </w:r>
      <w:r w:rsidRPr="005D5D2B">
        <w:rPr>
          <w:lang w:val="fr-FR"/>
        </w:rPr>
        <w:t>éruption.</w:t>
      </w:r>
    </w:p>
    <w:p w:rsidR="00DC23CA" w:rsidRDefault="00DC23CA" w:rsidP="00DD3422">
      <w:pPr>
        <w:pStyle w:val="ECHRPara"/>
        <w:rPr>
          <w:lang w:val="fr-FR"/>
        </w:rPr>
      </w:pPr>
      <w:r>
        <w:rPr>
          <w:lang w:val="fr-FR"/>
        </w:rPr>
        <w:t>3.  Le Vésuve est situé à quinze kilomètres du centre-ville de Naples. L</w:t>
      </w:r>
      <w:r w:rsidR="008D0C03">
        <w:rPr>
          <w:lang w:val="fr-FR"/>
        </w:rPr>
        <w:t>’</w:t>
      </w:r>
      <w:r>
        <w:rPr>
          <w:lang w:val="fr-FR"/>
        </w:rPr>
        <w:t>histoire du volcan a été caractérisée par l</w:t>
      </w:r>
      <w:r w:rsidR="008D0C03">
        <w:rPr>
          <w:lang w:val="fr-FR"/>
        </w:rPr>
        <w:t>’</w:t>
      </w:r>
      <w:r>
        <w:rPr>
          <w:lang w:val="fr-FR"/>
        </w:rPr>
        <w:t>alternance de périodes d</w:t>
      </w:r>
      <w:r w:rsidR="008D0C03">
        <w:rPr>
          <w:lang w:val="fr-FR"/>
        </w:rPr>
        <w:t>’</w:t>
      </w:r>
      <w:r>
        <w:rPr>
          <w:lang w:val="fr-FR"/>
        </w:rPr>
        <w:t>activité éruptive et des périodes de repos.</w:t>
      </w:r>
    </w:p>
    <w:p w:rsidR="00DC23CA" w:rsidRDefault="00DC23CA" w:rsidP="00DD3422">
      <w:pPr>
        <w:pStyle w:val="ECHRPara"/>
        <w:rPr>
          <w:lang w:val="fr-FR"/>
        </w:rPr>
      </w:pPr>
      <w:r>
        <w:rPr>
          <w:lang w:val="fr-FR"/>
        </w:rPr>
        <w:t>4.  Il ressort de documents historiques, en particulier du témoignage de Pline le Jeune relatif à l</w:t>
      </w:r>
      <w:r w:rsidR="008D0C03">
        <w:rPr>
          <w:lang w:val="fr-FR"/>
        </w:rPr>
        <w:t>’</w:t>
      </w:r>
      <w:r>
        <w:rPr>
          <w:lang w:val="fr-FR"/>
        </w:rPr>
        <w:t>éruption de l</w:t>
      </w:r>
      <w:r w:rsidR="008D0C03">
        <w:rPr>
          <w:lang w:val="fr-FR"/>
        </w:rPr>
        <w:t>’</w:t>
      </w:r>
      <w:r>
        <w:rPr>
          <w:lang w:val="fr-FR"/>
        </w:rPr>
        <w:t>an 79 qui détruisit les villes d</w:t>
      </w:r>
      <w:r w:rsidR="008D0C03">
        <w:rPr>
          <w:lang w:val="fr-FR"/>
        </w:rPr>
        <w:t>’</w:t>
      </w:r>
      <w:r>
        <w:rPr>
          <w:lang w:val="fr-FR"/>
        </w:rPr>
        <w:t>Ercolano et de Pompei, ainsi que d</w:t>
      </w:r>
      <w:r w:rsidR="008D0C03">
        <w:rPr>
          <w:lang w:val="fr-FR"/>
        </w:rPr>
        <w:t>’</w:t>
      </w:r>
      <w:r>
        <w:rPr>
          <w:lang w:val="fr-FR"/>
        </w:rPr>
        <w:t>études géologiques, que les éruptions du Vésuve ont un caractère explosif avec formation d</w:t>
      </w:r>
      <w:r w:rsidR="008D0C03">
        <w:rPr>
          <w:lang w:val="fr-FR"/>
        </w:rPr>
        <w:t>’</w:t>
      </w:r>
      <w:r>
        <w:rPr>
          <w:lang w:val="fr-FR"/>
        </w:rPr>
        <w:t>avalanches de gaz et de poussières dévalant rapidement les flancs du volcan. D</w:t>
      </w:r>
      <w:r w:rsidR="008D0C03">
        <w:rPr>
          <w:lang w:val="fr-FR"/>
        </w:rPr>
        <w:t>’</w:t>
      </w:r>
      <w:r>
        <w:rPr>
          <w:lang w:val="fr-FR"/>
        </w:rPr>
        <w:t xml:space="preserve">autres éruptions importantes eurent lieu en 472 et en 1631, cette dernière ayant causé la mort de plus de cinq-mille personnes. La </w:t>
      </w:r>
      <w:r w:rsidRPr="005D5D2B">
        <w:rPr>
          <w:lang w:val="fr-FR"/>
        </w:rPr>
        <w:t>dernière éruption d</w:t>
      </w:r>
      <w:r>
        <w:rPr>
          <w:lang w:val="fr-FR"/>
        </w:rPr>
        <w:t>ate de 1944. Depuis, le volcan se trouve dans un état de quiescence.</w:t>
      </w:r>
    </w:p>
    <w:p w:rsidR="00DC23CA" w:rsidRDefault="00DC23CA" w:rsidP="00DD3422">
      <w:pPr>
        <w:pStyle w:val="ECHRPara"/>
        <w:rPr>
          <w:lang w:val="fr-FR"/>
        </w:rPr>
      </w:pPr>
      <w:r>
        <w:rPr>
          <w:lang w:val="fr-FR"/>
        </w:rPr>
        <w:t>5.  </w:t>
      </w:r>
      <w:r w:rsidRPr="005D5D2B">
        <w:rPr>
          <w:lang w:val="fr-FR"/>
        </w:rPr>
        <w:t xml:space="preserve">Les requérants ont fourni de nombreux articles de presse et </w:t>
      </w:r>
      <w:r>
        <w:rPr>
          <w:lang w:val="fr-FR"/>
        </w:rPr>
        <w:t xml:space="preserve">de littérature </w:t>
      </w:r>
      <w:r w:rsidRPr="005D5D2B">
        <w:rPr>
          <w:lang w:val="fr-FR"/>
        </w:rPr>
        <w:t>scientifique attestant que l</w:t>
      </w:r>
      <w:r w:rsidR="008D0C03">
        <w:rPr>
          <w:lang w:val="fr-FR"/>
        </w:rPr>
        <w:t>’</w:t>
      </w:r>
      <w:r w:rsidRPr="005D5D2B">
        <w:rPr>
          <w:lang w:val="fr-FR"/>
        </w:rPr>
        <w:t>éruption du Vé</w:t>
      </w:r>
      <w:r>
        <w:rPr>
          <w:lang w:val="fr-FR"/>
        </w:rPr>
        <w:t>suve dans le futur est certaine et,</w:t>
      </w:r>
      <w:r w:rsidRPr="005D5D2B">
        <w:rPr>
          <w:lang w:val="fr-FR"/>
        </w:rPr>
        <w:t xml:space="preserve"> </w:t>
      </w:r>
      <w:r>
        <w:rPr>
          <w:lang w:val="fr-FR"/>
        </w:rPr>
        <w:t>bien qu</w:t>
      </w:r>
      <w:r w:rsidR="008D0C03">
        <w:rPr>
          <w:lang w:val="fr-FR"/>
        </w:rPr>
        <w:t>’</w:t>
      </w:r>
      <w:r>
        <w:rPr>
          <w:bCs/>
          <w:lang w:val="fr-FR"/>
        </w:rPr>
        <w:t>il soit impossible à l</w:t>
      </w:r>
      <w:r w:rsidR="008D0C03">
        <w:rPr>
          <w:bCs/>
          <w:lang w:val="fr-FR"/>
        </w:rPr>
        <w:t>’</w:t>
      </w:r>
      <w:r>
        <w:rPr>
          <w:bCs/>
          <w:lang w:val="fr-FR"/>
        </w:rPr>
        <w:t>heure actuelle d</w:t>
      </w:r>
      <w:r w:rsidR="008D0C03">
        <w:rPr>
          <w:bCs/>
          <w:lang w:val="fr-FR"/>
        </w:rPr>
        <w:t>’</w:t>
      </w:r>
      <w:r>
        <w:rPr>
          <w:bCs/>
          <w:lang w:val="fr-FR"/>
        </w:rPr>
        <w:t>établir le moment où celle-ci aura lieu</w:t>
      </w:r>
      <w:r w:rsidRPr="005D5D2B">
        <w:rPr>
          <w:lang w:val="fr-FR"/>
        </w:rPr>
        <w:t xml:space="preserve"> </w:t>
      </w:r>
      <w:r>
        <w:rPr>
          <w:lang w:val="fr-FR"/>
        </w:rPr>
        <w:t xml:space="preserve">et </w:t>
      </w:r>
      <w:r w:rsidRPr="005D5D2B">
        <w:rPr>
          <w:lang w:val="fr-FR"/>
        </w:rPr>
        <w:t>d</w:t>
      </w:r>
      <w:r w:rsidR="008D0C03">
        <w:rPr>
          <w:lang w:val="fr-FR"/>
        </w:rPr>
        <w:t>’</w:t>
      </w:r>
      <w:r w:rsidRPr="005D5D2B">
        <w:rPr>
          <w:lang w:val="fr-FR"/>
        </w:rPr>
        <w:t>e</w:t>
      </w:r>
      <w:r>
        <w:rPr>
          <w:lang w:val="fr-FR"/>
        </w:rPr>
        <w:t>n</w:t>
      </w:r>
      <w:r w:rsidRPr="005D5D2B">
        <w:rPr>
          <w:lang w:val="fr-FR"/>
        </w:rPr>
        <w:t xml:space="preserve"> prévoir l</w:t>
      </w:r>
      <w:r w:rsidR="008D0C03">
        <w:rPr>
          <w:lang w:val="fr-FR"/>
        </w:rPr>
        <w:t>’</w:t>
      </w:r>
      <w:r>
        <w:rPr>
          <w:lang w:val="fr-FR"/>
        </w:rPr>
        <w:t xml:space="preserve">intensité, </w:t>
      </w:r>
      <w:r w:rsidRPr="005D5D2B">
        <w:rPr>
          <w:lang w:val="fr-FR"/>
        </w:rPr>
        <w:t>lorsqu</w:t>
      </w:r>
      <w:r w:rsidR="008D0C03">
        <w:rPr>
          <w:lang w:val="fr-FR"/>
        </w:rPr>
        <w:t>’</w:t>
      </w:r>
      <w:r>
        <w:rPr>
          <w:lang w:val="fr-FR"/>
        </w:rPr>
        <w:t xml:space="preserve">elle </w:t>
      </w:r>
      <w:r w:rsidRPr="005D5D2B">
        <w:rPr>
          <w:lang w:val="fr-FR"/>
        </w:rPr>
        <w:t>se produir</w:t>
      </w:r>
      <w:r>
        <w:rPr>
          <w:lang w:val="fr-FR"/>
        </w:rPr>
        <w:t>a,</w:t>
      </w:r>
      <w:r w:rsidRPr="005D5D2B">
        <w:rPr>
          <w:lang w:val="fr-FR"/>
        </w:rPr>
        <w:t xml:space="preserve"> ses conséquences</w:t>
      </w:r>
      <w:r>
        <w:rPr>
          <w:lang w:val="fr-FR"/>
        </w:rPr>
        <w:t xml:space="preserve">, </w:t>
      </w:r>
      <w:r w:rsidRPr="005D5D2B">
        <w:rPr>
          <w:lang w:val="fr-FR"/>
        </w:rPr>
        <w:t>dans les conditions actuelles</w:t>
      </w:r>
      <w:r>
        <w:rPr>
          <w:lang w:val="fr-FR"/>
        </w:rPr>
        <w:t>,</w:t>
      </w:r>
      <w:r w:rsidRPr="005D5D2B">
        <w:rPr>
          <w:lang w:val="fr-FR"/>
        </w:rPr>
        <w:t xml:space="preserve"> seraient </w:t>
      </w:r>
      <w:r>
        <w:rPr>
          <w:lang w:val="fr-FR"/>
        </w:rPr>
        <w:t xml:space="preserve">sans doute </w:t>
      </w:r>
      <w:r w:rsidRPr="005D5D2B">
        <w:rPr>
          <w:lang w:val="fr-FR"/>
        </w:rPr>
        <w:t>catastrophiques.</w:t>
      </w:r>
    </w:p>
    <w:p w:rsidR="00DC23CA" w:rsidRDefault="00DC23CA" w:rsidP="00DD3422">
      <w:pPr>
        <w:pStyle w:val="ECHRPara"/>
        <w:rPr>
          <w:lang w:val="fr-FR"/>
        </w:rPr>
      </w:pPr>
      <w:r>
        <w:rPr>
          <w:lang w:val="fr-FR"/>
        </w:rPr>
        <w:t>6.  </w:t>
      </w:r>
      <w:r w:rsidRPr="005D5D2B">
        <w:rPr>
          <w:lang w:val="fr-FR"/>
        </w:rPr>
        <w:t xml:space="preserve">Les requérants exposent </w:t>
      </w:r>
      <w:r>
        <w:rPr>
          <w:lang w:val="fr-FR"/>
        </w:rPr>
        <w:t>que la zone rouge, qui couvre</w:t>
      </w:r>
      <w:r w:rsidRPr="005D5D2B">
        <w:rPr>
          <w:lang w:val="fr-FR"/>
        </w:rPr>
        <w:t xml:space="preserve"> une surface de </w:t>
      </w:r>
      <w:r>
        <w:rPr>
          <w:lang w:val="fr-FR"/>
        </w:rPr>
        <w:t>deux-cents</w:t>
      </w:r>
      <w:r w:rsidRPr="005D5D2B">
        <w:rPr>
          <w:lang w:val="fr-FR"/>
        </w:rPr>
        <w:t xml:space="preserve"> kilomètres carrés</w:t>
      </w:r>
      <w:r>
        <w:rPr>
          <w:lang w:val="fr-FR"/>
        </w:rPr>
        <w:t>,</w:t>
      </w:r>
      <w:r w:rsidRPr="005D5D2B">
        <w:rPr>
          <w:lang w:val="fr-FR"/>
        </w:rPr>
        <w:t xml:space="preserve"> est habitée par environ </w:t>
      </w:r>
      <w:r>
        <w:rPr>
          <w:lang w:val="fr-FR"/>
        </w:rPr>
        <w:t xml:space="preserve">huit-cent-mille </w:t>
      </w:r>
      <w:r w:rsidRPr="005D5D2B">
        <w:rPr>
          <w:lang w:val="fr-FR"/>
        </w:rPr>
        <w:t xml:space="preserve">personnes. </w:t>
      </w:r>
      <w:r>
        <w:rPr>
          <w:lang w:val="fr-FR"/>
        </w:rPr>
        <w:t xml:space="preserve">Dans ce périmètre, un bon nombre </w:t>
      </w:r>
      <w:r w:rsidRPr="005D5D2B">
        <w:rPr>
          <w:lang w:val="fr-FR"/>
        </w:rPr>
        <w:t>de bâtiments et d</w:t>
      </w:r>
      <w:r w:rsidR="008D0C03">
        <w:rPr>
          <w:lang w:val="fr-FR"/>
        </w:rPr>
        <w:t>’</w:t>
      </w:r>
      <w:r w:rsidRPr="005D5D2B">
        <w:rPr>
          <w:lang w:val="fr-FR"/>
        </w:rPr>
        <w:t xml:space="preserve">habitations ont été construits </w:t>
      </w:r>
      <w:r>
        <w:rPr>
          <w:lang w:val="fr-FR"/>
        </w:rPr>
        <w:t>abusivement</w:t>
      </w:r>
      <w:r w:rsidRPr="005D5D2B">
        <w:rPr>
          <w:lang w:val="fr-FR"/>
        </w:rPr>
        <w:t>.</w:t>
      </w:r>
    </w:p>
    <w:p w:rsidR="00DC23CA" w:rsidRDefault="00DC23CA" w:rsidP="00DD3422">
      <w:pPr>
        <w:pStyle w:val="ECHRHeading3"/>
        <w:rPr>
          <w:lang w:val="fr-FR"/>
        </w:rPr>
      </w:pPr>
      <w:r>
        <w:rPr>
          <w:lang w:val="fr-FR"/>
        </w:rPr>
        <w:t>2.  Les versions des parties concernant les mesures de sécurité actuelles</w:t>
      </w:r>
    </w:p>
    <w:p w:rsidR="00DC23CA" w:rsidRDefault="00534AC3" w:rsidP="00DD3422">
      <w:pPr>
        <w:pStyle w:val="ECHRHeading4"/>
        <w:rPr>
          <w:lang w:val="fr-FR"/>
        </w:rPr>
      </w:pPr>
      <w:r>
        <w:rPr>
          <w:lang w:val="fr-FR"/>
        </w:rPr>
        <w:t>a)  </w:t>
      </w:r>
      <w:r w:rsidR="00DC23CA">
        <w:rPr>
          <w:lang w:val="fr-FR"/>
        </w:rPr>
        <w:t>Les requérants</w:t>
      </w:r>
    </w:p>
    <w:p w:rsidR="00DC23CA" w:rsidRDefault="00DC23CA" w:rsidP="00DD3422">
      <w:pPr>
        <w:pStyle w:val="ECHRPara"/>
        <w:rPr>
          <w:lang w:val="fr-FR"/>
        </w:rPr>
      </w:pPr>
      <w:r>
        <w:rPr>
          <w:lang w:val="fr-FR"/>
        </w:rPr>
        <w:t>7.  </w:t>
      </w:r>
      <w:r w:rsidRPr="005D5D2B">
        <w:rPr>
          <w:lang w:val="fr-FR"/>
        </w:rPr>
        <w:t xml:space="preserve">Les requérants </w:t>
      </w:r>
      <w:r>
        <w:rPr>
          <w:lang w:val="fr-FR"/>
        </w:rPr>
        <w:t xml:space="preserve">affirment que, malgré les mesures déjà adoptées au </w:t>
      </w:r>
      <w:r w:rsidRPr="00CB2D79">
        <w:rPr>
          <w:lang w:val="fr-FR"/>
        </w:rPr>
        <w:t>niveau national (voir les paragraphes 12-27 ci-dessous), aucun plan de sécurité détaillé</w:t>
      </w:r>
      <w:r w:rsidRPr="005D5D2B">
        <w:rPr>
          <w:lang w:val="fr-FR"/>
        </w:rPr>
        <w:t xml:space="preserve"> </w:t>
      </w:r>
      <w:r>
        <w:rPr>
          <w:lang w:val="fr-FR"/>
        </w:rPr>
        <w:t>indiqu</w:t>
      </w:r>
      <w:r w:rsidRPr="005D5D2B">
        <w:rPr>
          <w:lang w:val="fr-FR"/>
        </w:rPr>
        <w:t>a</w:t>
      </w:r>
      <w:r>
        <w:rPr>
          <w:lang w:val="fr-FR"/>
        </w:rPr>
        <w:t>nt les</w:t>
      </w:r>
      <w:r w:rsidRPr="005D5D2B">
        <w:rPr>
          <w:lang w:val="fr-FR"/>
        </w:rPr>
        <w:t xml:space="preserve"> voies de fuite en cas d</w:t>
      </w:r>
      <w:r w:rsidR="008D0C03">
        <w:rPr>
          <w:lang w:val="fr-FR"/>
        </w:rPr>
        <w:t>’</w:t>
      </w:r>
      <w:r w:rsidRPr="005D5D2B">
        <w:rPr>
          <w:lang w:val="fr-FR"/>
        </w:rPr>
        <w:t>accident (éru</w:t>
      </w:r>
      <w:r>
        <w:rPr>
          <w:lang w:val="fr-FR"/>
        </w:rPr>
        <w:t>ption ou tremblements de terre) n</w:t>
      </w:r>
      <w:r w:rsidR="008D0C03">
        <w:rPr>
          <w:lang w:val="fr-FR"/>
        </w:rPr>
        <w:t>’</w:t>
      </w:r>
      <w:r>
        <w:rPr>
          <w:lang w:val="fr-FR"/>
        </w:rPr>
        <w:t>a été adopté jusqu</w:t>
      </w:r>
      <w:r w:rsidR="008D0C03">
        <w:rPr>
          <w:lang w:val="fr-FR"/>
        </w:rPr>
        <w:t>’</w:t>
      </w:r>
      <w:r>
        <w:rPr>
          <w:lang w:val="fr-FR"/>
        </w:rPr>
        <w:t>à présent. Ils allèguent également l</w:t>
      </w:r>
      <w:r w:rsidR="008D0C03">
        <w:rPr>
          <w:lang w:val="fr-FR"/>
        </w:rPr>
        <w:t>’</w:t>
      </w:r>
      <w:r>
        <w:rPr>
          <w:lang w:val="fr-FR"/>
        </w:rPr>
        <w:t xml:space="preserve">absence de toute </w:t>
      </w:r>
      <w:r w:rsidRPr="005D5D2B">
        <w:rPr>
          <w:lang w:val="fr-FR"/>
        </w:rPr>
        <w:t>information concernant le comportement à tenir en cas d</w:t>
      </w:r>
      <w:r w:rsidR="008D0C03">
        <w:rPr>
          <w:lang w:val="fr-FR"/>
        </w:rPr>
        <w:t>’</w:t>
      </w:r>
      <w:r w:rsidRPr="005D5D2B">
        <w:rPr>
          <w:lang w:val="fr-FR"/>
        </w:rPr>
        <w:t>urgence. En outr</w:t>
      </w:r>
      <w:r>
        <w:rPr>
          <w:lang w:val="fr-FR"/>
        </w:rPr>
        <w:t>e, aucun système d</w:t>
      </w:r>
      <w:r w:rsidR="008D0C03">
        <w:rPr>
          <w:lang w:val="fr-FR"/>
        </w:rPr>
        <w:t>’</w:t>
      </w:r>
      <w:r>
        <w:rPr>
          <w:lang w:val="fr-FR"/>
        </w:rPr>
        <w:t>alarme ni des</w:t>
      </w:r>
      <w:r w:rsidRPr="005D5D2B">
        <w:rPr>
          <w:lang w:val="fr-FR"/>
        </w:rPr>
        <w:t xml:space="preserve"> simulations d</w:t>
      </w:r>
      <w:r w:rsidR="008D0C03">
        <w:rPr>
          <w:lang w:val="fr-FR"/>
        </w:rPr>
        <w:t>’</w:t>
      </w:r>
      <w:r w:rsidRPr="005D5D2B">
        <w:rPr>
          <w:lang w:val="fr-FR"/>
        </w:rPr>
        <w:t>états d</w:t>
      </w:r>
      <w:r w:rsidR="008D0C03">
        <w:rPr>
          <w:lang w:val="fr-FR"/>
        </w:rPr>
        <w:t>’</w:t>
      </w:r>
      <w:r w:rsidRPr="005D5D2B">
        <w:rPr>
          <w:lang w:val="fr-FR"/>
        </w:rPr>
        <w:t xml:space="preserve">urgence </w:t>
      </w:r>
      <w:r>
        <w:rPr>
          <w:lang w:val="fr-FR"/>
        </w:rPr>
        <w:t>n</w:t>
      </w:r>
      <w:r w:rsidR="008D0C03">
        <w:rPr>
          <w:lang w:val="fr-FR"/>
        </w:rPr>
        <w:t>’</w:t>
      </w:r>
      <w:r w:rsidRPr="005D5D2B">
        <w:rPr>
          <w:lang w:val="fr-FR"/>
        </w:rPr>
        <w:t>auraient été mis en place et les habitants ne disposeraient pas de refuges où se mettre à l</w:t>
      </w:r>
      <w:r w:rsidR="008D0C03">
        <w:rPr>
          <w:lang w:val="fr-FR"/>
        </w:rPr>
        <w:t>’</w:t>
      </w:r>
      <w:r w:rsidRPr="005D5D2B">
        <w:rPr>
          <w:lang w:val="fr-FR"/>
        </w:rPr>
        <w:t>abri en cas de nécessité.</w:t>
      </w:r>
    </w:p>
    <w:p w:rsidR="00DC23CA" w:rsidRDefault="00534AC3" w:rsidP="00DD3422">
      <w:pPr>
        <w:pStyle w:val="ECHRHeading4"/>
        <w:rPr>
          <w:lang w:val="fr-FR"/>
        </w:rPr>
      </w:pPr>
      <w:r>
        <w:rPr>
          <w:lang w:val="fr-FR"/>
        </w:rPr>
        <w:lastRenderedPageBreak/>
        <w:t>b)  </w:t>
      </w:r>
      <w:r w:rsidR="00DC23CA">
        <w:rPr>
          <w:lang w:val="fr-FR"/>
        </w:rPr>
        <w:t>Le Gouvernement</w:t>
      </w:r>
    </w:p>
    <w:p w:rsidR="00DC23CA" w:rsidRPr="00CB2D79" w:rsidRDefault="00DC23CA" w:rsidP="00DD3422">
      <w:pPr>
        <w:pStyle w:val="ECHRPara"/>
        <w:rPr>
          <w:lang w:val="fr-FR"/>
        </w:rPr>
      </w:pPr>
      <w:r>
        <w:rPr>
          <w:lang w:val="fr-FR"/>
        </w:rPr>
        <w:t>8.  Le Gouvernement a fourni des informations détaillées concernant l</w:t>
      </w:r>
      <w:r w:rsidR="008D0C03">
        <w:rPr>
          <w:lang w:val="fr-FR"/>
        </w:rPr>
        <w:t>’</w:t>
      </w:r>
      <w:r>
        <w:rPr>
          <w:lang w:val="fr-FR"/>
        </w:rPr>
        <w:t>adoption et la mise à jour d</w:t>
      </w:r>
      <w:r w:rsidR="008D0C03">
        <w:rPr>
          <w:lang w:val="fr-FR"/>
        </w:rPr>
        <w:t>’</w:t>
      </w:r>
      <w:r>
        <w:rPr>
          <w:lang w:val="fr-FR"/>
        </w:rPr>
        <w:t>un plan d</w:t>
      </w:r>
      <w:r w:rsidR="008D0C03">
        <w:rPr>
          <w:lang w:val="fr-FR"/>
        </w:rPr>
        <w:t>’</w:t>
      </w:r>
      <w:r>
        <w:rPr>
          <w:lang w:val="fr-FR"/>
        </w:rPr>
        <w:t>urgence (« le Plan Vésuve »), et l</w:t>
      </w:r>
      <w:r w:rsidR="008D0C03">
        <w:rPr>
          <w:lang w:val="fr-FR"/>
        </w:rPr>
        <w:t>’</w:t>
      </w:r>
      <w:r>
        <w:rPr>
          <w:lang w:val="fr-FR"/>
        </w:rPr>
        <w:t>ensemble des mesures prises au niveau national et local afin de mitiger les risques dérivant d</w:t>
      </w:r>
      <w:r w:rsidR="008D0C03">
        <w:rPr>
          <w:lang w:val="fr-FR"/>
        </w:rPr>
        <w:t>’</w:t>
      </w:r>
      <w:r>
        <w:rPr>
          <w:lang w:val="fr-FR"/>
        </w:rPr>
        <w:t xml:space="preserve">un éventuel </w:t>
      </w:r>
      <w:r w:rsidRPr="00CB2D79">
        <w:rPr>
          <w:lang w:val="fr-FR"/>
        </w:rPr>
        <w:t>évènement volcanique.</w:t>
      </w:r>
    </w:p>
    <w:p w:rsidR="00DC23CA" w:rsidRDefault="00DC23CA" w:rsidP="00DD3422">
      <w:pPr>
        <w:pStyle w:val="ECHRPara"/>
        <w:rPr>
          <w:lang w:val="fr-FR"/>
        </w:rPr>
      </w:pPr>
      <w:r>
        <w:rPr>
          <w:lang w:val="fr-FR"/>
        </w:rPr>
        <w:t>9</w:t>
      </w:r>
      <w:r w:rsidRPr="00CB2D79">
        <w:rPr>
          <w:lang w:val="fr-FR"/>
        </w:rPr>
        <w:t>.  Ces informations sont reportées aux paragraphes 12-29 ci-</w:t>
      </w:r>
      <w:r>
        <w:rPr>
          <w:lang w:val="fr-FR"/>
        </w:rPr>
        <w:t>dessous.</w:t>
      </w:r>
    </w:p>
    <w:p w:rsidR="00DC23CA" w:rsidRPr="0072720E" w:rsidRDefault="00DC23CA" w:rsidP="00DD3422">
      <w:pPr>
        <w:pStyle w:val="ECHRHeading2"/>
        <w:rPr>
          <w:lang w:val="fr-FR"/>
        </w:rPr>
      </w:pPr>
      <w:r w:rsidRPr="0072720E">
        <w:rPr>
          <w:lang w:val="fr-FR"/>
        </w:rPr>
        <w:t xml:space="preserve">B.  Le droit </w:t>
      </w:r>
      <w:r>
        <w:rPr>
          <w:lang w:val="fr-FR"/>
        </w:rPr>
        <w:t xml:space="preserve">et la pratique </w:t>
      </w:r>
      <w:r w:rsidRPr="0072720E">
        <w:rPr>
          <w:lang w:val="fr-FR"/>
        </w:rPr>
        <w:t>interne</w:t>
      </w:r>
      <w:r>
        <w:rPr>
          <w:lang w:val="fr-FR"/>
        </w:rPr>
        <w:t>s pertinents</w:t>
      </w:r>
    </w:p>
    <w:p w:rsidR="00DC23CA" w:rsidRDefault="00DC23CA" w:rsidP="00DD3422">
      <w:pPr>
        <w:pStyle w:val="ECHRHeading3"/>
        <w:rPr>
          <w:lang w:val="fr-FR"/>
        </w:rPr>
      </w:pPr>
      <w:r>
        <w:rPr>
          <w:lang w:val="fr-FR"/>
        </w:rPr>
        <w:t>1.  Le droit interne pertinent</w:t>
      </w:r>
    </w:p>
    <w:p w:rsidR="00DC23CA" w:rsidRDefault="00DC23CA" w:rsidP="00DD3422">
      <w:pPr>
        <w:pStyle w:val="ECHRHeading4"/>
        <w:rPr>
          <w:lang w:val="fr-FR"/>
        </w:rPr>
      </w:pPr>
      <w:r>
        <w:rPr>
          <w:lang w:val="fr-FR"/>
        </w:rPr>
        <w:t>a)  La loi n</w:t>
      </w:r>
      <w:r w:rsidRPr="00DC23CA">
        <w:rPr>
          <w:vertAlign w:val="superscript"/>
          <w:lang w:val="fr-FR"/>
        </w:rPr>
        <w:t>o</w:t>
      </w:r>
      <w:r>
        <w:rPr>
          <w:lang w:val="fr-FR"/>
        </w:rPr>
        <w:t xml:space="preserve"> 225 de 1992 - Institution du Service national de la Protection civile</w:t>
      </w:r>
    </w:p>
    <w:p w:rsidR="00DC23CA" w:rsidRDefault="00DC23CA" w:rsidP="00DD3422">
      <w:pPr>
        <w:pStyle w:val="JuQuotSub"/>
        <w:jc w:val="center"/>
        <w:rPr>
          <w:lang w:val="fr-FR"/>
        </w:rPr>
      </w:pPr>
      <w:r>
        <w:rPr>
          <w:lang w:val="fr-FR"/>
        </w:rPr>
        <w:t>Article 3 – Activités et compétences de la Protection civile</w:t>
      </w:r>
    </w:p>
    <w:p w:rsidR="00DC23CA" w:rsidRDefault="00DC23CA" w:rsidP="00DD3422">
      <w:pPr>
        <w:pStyle w:val="JuQuotSub"/>
        <w:rPr>
          <w:lang w:val="fr-FR"/>
        </w:rPr>
      </w:pPr>
      <w:r>
        <w:rPr>
          <w:lang w:val="fr-FR"/>
        </w:rPr>
        <w:t>« Les activités de la Protection civile tendent à la prévision et à la prévention des risques, au secours des populations sinistrées et à toute autre activité nécessaire, qui ne saurait être différée, visant à contrer et à surmonter l</w:t>
      </w:r>
      <w:r w:rsidR="008D0C03">
        <w:rPr>
          <w:lang w:val="fr-FR"/>
        </w:rPr>
        <w:t>’</w:t>
      </w:r>
      <w:r>
        <w:rPr>
          <w:lang w:val="fr-FR"/>
        </w:rPr>
        <w:t>état d</w:t>
      </w:r>
      <w:r w:rsidR="008D0C03">
        <w:rPr>
          <w:lang w:val="fr-FR"/>
        </w:rPr>
        <w:t>’</w:t>
      </w:r>
      <w:r>
        <w:rPr>
          <w:lang w:val="fr-FR"/>
        </w:rPr>
        <w:t>urgence et à réduire les risques [dérivant d</w:t>
      </w:r>
      <w:r w:rsidR="008D0C03">
        <w:rPr>
          <w:lang w:val="fr-FR"/>
        </w:rPr>
        <w:t>’</w:t>
      </w:r>
      <w:r>
        <w:rPr>
          <w:lang w:val="fr-FR"/>
        </w:rPr>
        <w:t>évènements calamiteux]. (...) »</w:t>
      </w:r>
    </w:p>
    <w:p w:rsidR="00DC23CA" w:rsidRDefault="00DC23CA" w:rsidP="00DD3422">
      <w:pPr>
        <w:pStyle w:val="JuQuotSub"/>
        <w:jc w:val="center"/>
        <w:rPr>
          <w:lang w:val="fr-FR"/>
        </w:rPr>
      </w:pPr>
      <w:r>
        <w:rPr>
          <w:lang w:val="fr-FR"/>
        </w:rPr>
        <w:t>Article 5 – L</w:t>
      </w:r>
      <w:r w:rsidR="008D0C03">
        <w:rPr>
          <w:lang w:val="fr-FR"/>
        </w:rPr>
        <w:t>’</w:t>
      </w:r>
      <w:r>
        <w:rPr>
          <w:lang w:val="fr-FR"/>
        </w:rPr>
        <w:t>état d</w:t>
      </w:r>
      <w:r w:rsidR="008D0C03">
        <w:rPr>
          <w:lang w:val="fr-FR"/>
        </w:rPr>
        <w:t>’</w:t>
      </w:r>
      <w:r>
        <w:rPr>
          <w:lang w:val="fr-FR"/>
        </w:rPr>
        <w:t>urgence (...)</w:t>
      </w:r>
    </w:p>
    <w:p w:rsidR="00DC23CA" w:rsidRDefault="00DC23CA" w:rsidP="00DD3422">
      <w:pPr>
        <w:pStyle w:val="JuQuotSub"/>
        <w:keepNext/>
        <w:keepLines/>
        <w:rPr>
          <w:lang w:val="fr-FR"/>
        </w:rPr>
      </w:pPr>
      <w:r>
        <w:rPr>
          <w:lang w:val="fr-FR"/>
        </w:rPr>
        <w:t>« Une fois les événements (...) s</w:t>
      </w:r>
      <w:r w:rsidR="008D0C03">
        <w:rPr>
          <w:lang w:val="fr-FR"/>
        </w:rPr>
        <w:t>’</w:t>
      </w:r>
      <w:r>
        <w:rPr>
          <w:lang w:val="fr-FR"/>
        </w:rPr>
        <w:t>étant vérifiés, ou au cas où ils sont imminents, le Conseil des Ministres (...), déclare l</w:t>
      </w:r>
      <w:r w:rsidR="008D0C03">
        <w:rPr>
          <w:lang w:val="fr-FR"/>
        </w:rPr>
        <w:t>’</w:t>
      </w:r>
      <w:r>
        <w:rPr>
          <w:lang w:val="fr-FR"/>
        </w:rPr>
        <w:t>état d</w:t>
      </w:r>
      <w:r w:rsidR="008D0C03">
        <w:rPr>
          <w:lang w:val="fr-FR"/>
        </w:rPr>
        <w:t>’</w:t>
      </w:r>
      <w:r>
        <w:rPr>
          <w:lang w:val="fr-FR"/>
        </w:rPr>
        <w:t>urgence en fixant la durée de celui-ci et en établissant l</w:t>
      </w:r>
      <w:r w:rsidR="008D0C03">
        <w:rPr>
          <w:lang w:val="fr-FR"/>
        </w:rPr>
        <w:t>’</w:t>
      </w:r>
      <w:r>
        <w:rPr>
          <w:lang w:val="fr-FR"/>
        </w:rPr>
        <w:t>extension du territoire concerné (...). »</w:t>
      </w:r>
    </w:p>
    <w:p w:rsidR="00DC23CA" w:rsidRDefault="00DC23CA" w:rsidP="00DD3422">
      <w:pPr>
        <w:pStyle w:val="ECHRHeading4"/>
        <w:rPr>
          <w:lang w:val="fr-FR"/>
        </w:rPr>
      </w:pPr>
      <w:r>
        <w:rPr>
          <w:lang w:val="fr-FR"/>
        </w:rPr>
        <w:t>b)  Loi n</w:t>
      </w:r>
      <w:r w:rsidRPr="00DC23CA">
        <w:rPr>
          <w:vertAlign w:val="superscript"/>
          <w:lang w:val="fr-FR"/>
        </w:rPr>
        <w:t>o</w:t>
      </w:r>
      <w:r>
        <w:rPr>
          <w:lang w:val="fr-FR"/>
        </w:rPr>
        <w:t xml:space="preserve"> 15 du 4 mars 2009 – Délégation au Gouvernement tendant (...) à l</w:t>
      </w:r>
      <w:r w:rsidR="008D0C03">
        <w:rPr>
          <w:lang w:val="fr-FR"/>
        </w:rPr>
        <w:t>’</w:t>
      </w:r>
      <w:r>
        <w:rPr>
          <w:lang w:val="fr-FR"/>
        </w:rPr>
        <w:t>efficacité et à la transparence des administrations publiques (...)</w:t>
      </w:r>
    </w:p>
    <w:p w:rsidR="00DC23CA" w:rsidRDefault="00DC23CA" w:rsidP="00DD3422">
      <w:pPr>
        <w:pStyle w:val="ECHRPara"/>
        <w:rPr>
          <w:lang w:val="fr-FR"/>
        </w:rPr>
      </w:pPr>
    </w:p>
    <w:p w:rsidR="00DC23CA" w:rsidRDefault="00DC23CA" w:rsidP="00DD3422">
      <w:pPr>
        <w:pStyle w:val="ECHRPara"/>
        <w:rPr>
          <w:lang w:val="fr-FR"/>
        </w:rPr>
      </w:pPr>
      <w:r>
        <w:rPr>
          <w:lang w:val="fr-FR"/>
        </w:rPr>
        <w:t>10.  </w:t>
      </w:r>
      <w:r w:rsidRPr="00ED61B5">
        <w:rPr>
          <w:lang w:val="fr-FR"/>
        </w:rPr>
        <w:t>L</w:t>
      </w:r>
      <w:r w:rsidR="008D0C03">
        <w:rPr>
          <w:lang w:val="fr-FR"/>
        </w:rPr>
        <w:t>’</w:t>
      </w:r>
      <w:r w:rsidRPr="00ED61B5">
        <w:rPr>
          <w:lang w:val="fr-FR"/>
        </w:rPr>
        <w:t>article 4 § 2</w:t>
      </w:r>
      <w:r>
        <w:rPr>
          <w:lang w:val="fr-FR"/>
        </w:rPr>
        <w:t>,</w:t>
      </w:r>
      <w:r w:rsidRPr="00ED61B5">
        <w:rPr>
          <w:lang w:val="fr-FR"/>
        </w:rPr>
        <w:t xml:space="preserve"> lettre l)</w:t>
      </w:r>
      <w:r>
        <w:rPr>
          <w:lang w:val="fr-FR"/>
        </w:rPr>
        <w:t>,</w:t>
      </w:r>
      <w:r w:rsidRPr="00ED61B5">
        <w:rPr>
          <w:lang w:val="fr-FR"/>
        </w:rPr>
        <w:t xml:space="preserve"> de cette loi dispose ainsi :</w:t>
      </w:r>
    </w:p>
    <w:p w:rsidR="00DC23CA" w:rsidRPr="00ED61B5" w:rsidRDefault="00DC23CA" w:rsidP="00DD3422">
      <w:pPr>
        <w:pStyle w:val="JuQuotSub"/>
        <w:rPr>
          <w:lang w:val="fr-FR"/>
        </w:rPr>
      </w:pPr>
      <w:r w:rsidRPr="00ED61B5">
        <w:rPr>
          <w:lang w:val="fr-FR"/>
        </w:rPr>
        <w:t xml:space="preserve">« [Le Gouvernement </w:t>
      </w:r>
      <w:r>
        <w:rPr>
          <w:lang w:val="fr-FR"/>
        </w:rPr>
        <w:t>permet</w:t>
      </w:r>
      <w:r w:rsidRPr="00ED61B5">
        <w:rPr>
          <w:lang w:val="fr-FR"/>
        </w:rPr>
        <w:t>] à toute personne intéressée d</w:t>
      </w:r>
      <w:r w:rsidR="008D0C03">
        <w:rPr>
          <w:lang w:val="fr-FR"/>
        </w:rPr>
        <w:t>’</w:t>
      </w:r>
      <w:r>
        <w:rPr>
          <w:lang w:val="fr-FR"/>
        </w:rPr>
        <w:t>a</w:t>
      </w:r>
      <w:r w:rsidRPr="00ED61B5">
        <w:rPr>
          <w:lang w:val="fr-FR"/>
        </w:rPr>
        <w:t>gir en justice à l</w:t>
      </w:r>
      <w:r w:rsidR="008D0C03">
        <w:rPr>
          <w:lang w:val="fr-FR"/>
        </w:rPr>
        <w:t>’</w:t>
      </w:r>
      <w:r w:rsidRPr="00ED61B5">
        <w:rPr>
          <w:lang w:val="fr-FR"/>
        </w:rPr>
        <w:t>encontre des administrations (</w:t>
      </w:r>
      <w:r>
        <w:rPr>
          <w:lang w:val="fr-FR"/>
        </w:rPr>
        <w:t>...</w:t>
      </w:r>
      <w:r w:rsidRPr="00ED61B5">
        <w:rPr>
          <w:lang w:val="fr-FR"/>
        </w:rPr>
        <w:t>) lorsque</w:t>
      </w:r>
      <w:r>
        <w:rPr>
          <w:lang w:val="fr-FR"/>
        </w:rPr>
        <w:t xml:space="preserve"> une</w:t>
      </w:r>
      <w:r w:rsidRPr="00ED61B5">
        <w:rPr>
          <w:lang w:val="fr-FR"/>
        </w:rPr>
        <w:t xml:space="preserve"> </w:t>
      </w:r>
      <w:r>
        <w:rPr>
          <w:lang w:val="fr-FR"/>
        </w:rPr>
        <w:t>atteinte des intérêts juridiques communs à une pluralité d</w:t>
      </w:r>
      <w:r w:rsidR="008D0C03">
        <w:rPr>
          <w:lang w:val="fr-FR"/>
        </w:rPr>
        <w:t>’</w:t>
      </w:r>
      <w:r>
        <w:rPr>
          <w:lang w:val="fr-FR"/>
        </w:rPr>
        <w:t xml:space="preserve">usagers ou de consommateurs résulte </w:t>
      </w:r>
      <w:r w:rsidRPr="00ED61B5">
        <w:rPr>
          <w:lang w:val="fr-FR"/>
        </w:rPr>
        <w:t>de la violation des standard</w:t>
      </w:r>
      <w:r>
        <w:rPr>
          <w:lang w:val="fr-FR"/>
        </w:rPr>
        <w:t>s</w:t>
      </w:r>
      <w:r w:rsidRPr="00ED61B5">
        <w:rPr>
          <w:lang w:val="fr-FR"/>
        </w:rPr>
        <w:t xml:space="preserve"> de qualité</w:t>
      </w:r>
      <w:r>
        <w:rPr>
          <w:lang w:val="fr-FR"/>
        </w:rPr>
        <w:t>,</w:t>
      </w:r>
      <w:r w:rsidRPr="00ED61B5">
        <w:rPr>
          <w:lang w:val="fr-FR"/>
        </w:rPr>
        <w:t xml:space="preserve"> (</w:t>
      </w:r>
      <w:r>
        <w:rPr>
          <w:lang w:val="fr-FR"/>
        </w:rPr>
        <w:t>.</w:t>
      </w:r>
      <w:r w:rsidRPr="00ED61B5">
        <w:rPr>
          <w:lang w:val="fr-FR"/>
        </w:rPr>
        <w:t>..)</w:t>
      </w:r>
      <w:r>
        <w:rPr>
          <w:lang w:val="fr-FR"/>
        </w:rPr>
        <w:t xml:space="preserve"> de l</w:t>
      </w:r>
      <w:r w:rsidR="008D0C03">
        <w:rPr>
          <w:lang w:val="fr-FR"/>
        </w:rPr>
        <w:t>’</w:t>
      </w:r>
      <w:r>
        <w:rPr>
          <w:lang w:val="fr-FR"/>
        </w:rPr>
        <w:t>omission d</w:t>
      </w:r>
      <w:r w:rsidR="008D0C03">
        <w:rPr>
          <w:lang w:val="fr-FR"/>
        </w:rPr>
        <w:t>’</w:t>
      </w:r>
      <w:r>
        <w:rPr>
          <w:lang w:val="fr-FR"/>
        </w:rPr>
        <w:t>exercer des pouvoirs de vigilance, de contrôle ou de sanction, du manque de respect de délais ou d</w:t>
      </w:r>
      <w:r w:rsidR="008D0C03">
        <w:rPr>
          <w:lang w:val="fr-FR"/>
        </w:rPr>
        <w:t>’</w:t>
      </w:r>
      <w:r>
        <w:rPr>
          <w:lang w:val="fr-FR"/>
        </w:rPr>
        <w:t>omission dans la délivrance d</w:t>
      </w:r>
      <w:r w:rsidR="008D0C03">
        <w:rPr>
          <w:lang w:val="fr-FR"/>
        </w:rPr>
        <w:t>’</w:t>
      </w:r>
      <w:r>
        <w:rPr>
          <w:lang w:val="fr-FR"/>
        </w:rPr>
        <w:t>actes administratifs (...). »</w:t>
      </w:r>
    </w:p>
    <w:p w:rsidR="00DC23CA" w:rsidRDefault="00DC23CA" w:rsidP="00DD3422">
      <w:pPr>
        <w:pStyle w:val="ECHRHeading4"/>
        <w:rPr>
          <w:lang w:val="fr-FR"/>
        </w:rPr>
      </w:pPr>
      <w:r>
        <w:rPr>
          <w:lang w:val="fr-FR"/>
        </w:rPr>
        <w:t>c)  Décret législatif n</w:t>
      </w:r>
      <w:r w:rsidRPr="00DC23CA">
        <w:rPr>
          <w:vertAlign w:val="superscript"/>
          <w:lang w:val="fr-FR"/>
        </w:rPr>
        <w:t>o</w:t>
      </w:r>
      <w:r>
        <w:rPr>
          <w:lang w:val="fr-FR"/>
        </w:rPr>
        <w:t xml:space="preserve"> 198 du 20 décembre 2009</w:t>
      </w:r>
    </w:p>
    <w:p w:rsidR="00DC23CA" w:rsidRDefault="00DC23CA" w:rsidP="00DD3422">
      <w:pPr>
        <w:ind w:firstLine="284"/>
        <w:rPr>
          <w:lang w:val="fr-FR"/>
        </w:rPr>
      </w:pPr>
      <w:r>
        <w:rPr>
          <w:lang w:val="fr-FR"/>
        </w:rPr>
        <w:t>11.  Sur la base de la délégation prévue par la loi n</w:t>
      </w:r>
      <w:r w:rsidRPr="00DC23CA">
        <w:rPr>
          <w:vertAlign w:val="superscript"/>
          <w:lang w:val="fr-FR"/>
        </w:rPr>
        <w:t>o</w:t>
      </w:r>
      <w:r>
        <w:rPr>
          <w:lang w:val="fr-FR"/>
        </w:rPr>
        <w:t xml:space="preserve"> 15 du 4 mars 2009, ce décret prévoit ainsi dans ses parties pertinentes :</w:t>
      </w:r>
    </w:p>
    <w:p w:rsidR="00DC23CA" w:rsidRDefault="00DC23CA" w:rsidP="00DD3422">
      <w:pPr>
        <w:pStyle w:val="JuQuotSub"/>
        <w:jc w:val="center"/>
        <w:rPr>
          <w:lang w:val="fr-FR"/>
        </w:rPr>
      </w:pPr>
      <w:r>
        <w:rPr>
          <w:lang w:val="fr-FR"/>
        </w:rPr>
        <w:t>Article 1 – Conditions de l</w:t>
      </w:r>
      <w:r w:rsidR="008D0C03">
        <w:rPr>
          <w:lang w:val="fr-FR"/>
        </w:rPr>
        <w:t>’</w:t>
      </w:r>
      <w:r>
        <w:rPr>
          <w:lang w:val="fr-FR"/>
        </w:rPr>
        <w:t>action et légitimité à agir</w:t>
      </w:r>
    </w:p>
    <w:p w:rsidR="00DC23CA" w:rsidRDefault="00DC23CA" w:rsidP="00DD3422">
      <w:pPr>
        <w:pStyle w:val="ECHRParaQuote"/>
        <w:rPr>
          <w:lang w:val="fr-FR"/>
        </w:rPr>
      </w:pPr>
      <w:r>
        <w:rPr>
          <w:lang w:val="fr-FR"/>
        </w:rPr>
        <w:t>« 1.  (...) Les titulaires des intérêts juridiques communs à une pluralité d</w:t>
      </w:r>
      <w:r w:rsidR="008D0C03">
        <w:rPr>
          <w:lang w:val="fr-FR"/>
        </w:rPr>
        <w:t>’</w:t>
      </w:r>
      <w:r>
        <w:rPr>
          <w:lang w:val="fr-FR"/>
        </w:rPr>
        <w:t>usagers et de consommateurs peuvent agir en justice (...) à l</w:t>
      </w:r>
      <w:r w:rsidR="008D0C03">
        <w:rPr>
          <w:lang w:val="fr-FR"/>
        </w:rPr>
        <w:t>’</w:t>
      </w:r>
      <w:r>
        <w:rPr>
          <w:lang w:val="fr-FR"/>
        </w:rPr>
        <w:t>encontre des administrations publiques (...) lorsqu</w:t>
      </w:r>
      <w:r w:rsidR="008D0C03">
        <w:rPr>
          <w:lang w:val="fr-FR"/>
        </w:rPr>
        <w:t>’</w:t>
      </w:r>
      <w:r>
        <w:rPr>
          <w:lang w:val="fr-FR"/>
        </w:rPr>
        <w:t>une atteinte directe, concrète et actuelle de leurs intérêts résulte du manque de respect des délais ou de l</w:t>
      </w:r>
      <w:r w:rsidR="008D0C03">
        <w:rPr>
          <w:lang w:val="fr-FR"/>
        </w:rPr>
        <w:t>’</w:t>
      </w:r>
      <w:r>
        <w:rPr>
          <w:lang w:val="fr-FR"/>
        </w:rPr>
        <w:t>omission dans la délivrance d</w:t>
      </w:r>
      <w:r w:rsidR="008D0C03">
        <w:rPr>
          <w:lang w:val="fr-FR"/>
        </w:rPr>
        <w:t>’</w:t>
      </w:r>
      <w:r>
        <w:rPr>
          <w:lang w:val="fr-FR"/>
        </w:rPr>
        <w:t>actes administratifs (...).</w:t>
      </w:r>
    </w:p>
    <w:p w:rsidR="00DC23CA" w:rsidRDefault="00DC23CA" w:rsidP="00DD3422">
      <w:pPr>
        <w:pStyle w:val="ECHRParaQuote"/>
        <w:rPr>
          <w:lang w:val="fr-FR"/>
        </w:rPr>
      </w:pPr>
      <w:r>
        <w:rPr>
          <w:lang w:val="fr-FR"/>
        </w:rPr>
        <w:t xml:space="preserve">1 – </w:t>
      </w:r>
      <w:r w:rsidRPr="003A3E79">
        <w:rPr>
          <w:i/>
          <w:lang w:val="fr-FR"/>
        </w:rPr>
        <w:t>ter</w:t>
      </w:r>
      <w:r>
        <w:rPr>
          <w:lang w:val="fr-FR"/>
        </w:rPr>
        <w:t>  . (...) La Présidence du Conseil des Ministres est exclue de l</w:t>
      </w:r>
      <w:r w:rsidR="008D0C03">
        <w:rPr>
          <w:lang w:val="fr-FR"/>
        </w:rPr>
        <w:t>’</w:t>
      </w:r>
      <w:r>
        <w:rPr>
          <w:lang w:val="fr-FR"/>
        </w:rPr>
        <w:t>application du présent décret. »</w:t>
      </w:r>
    </w:p>
    <w:p w:rsidR="00DC23CA" w:rsidRDefault="00DC23CA" w:rsidP="00DD3422">
      <w:pPr>
        <w:pStyle w:val="ECHRHeading3"/>
        <w:rPr>
          <w:lang w:val="fr-FR"/>
        </w:rPr>
      </w:pPr>
      <w:r>
        <w:rPr>
          <w:lang w:val="fr-FR"/>
        </w:rPr>
        <w:lastRenderedPageBreak/>
        <w:t>2.  Les études et les mesures nationales de prévention des risques en cas d</w:t>
      </w:r>
      <w:r w:rsidR="008D0C03">
        <w:rPr>
          <w:lang w:val="fr-FR"/>
        </w:rPr>
        <w:t>’</w:t>
      </w:r>
      <w:r>
        <w:rPr>
          <w:lang w:val="fr-FR"/>
        </w:rPr>
        <w:t>éruption</w:t>
      </w:r>
    </w:p>
    <w:p w:rsidR="00DC23CA" w:rsidRDefault="00DC23CA" w:rsidP="00DD3422">
      <w:pPr>
        <w:pStyle w:val="ECHRHeading4"/>
        <w:rPr>
          <w:lang w:val="fr-FR"/>
        </w:rPr>
      </w:pPr>
      <w:r>
        <w:rPr>
          <w:lang w:val="fr-FR"/>
        </w:rPr>
        <w:t>a)</w:t>
      </w:r>
      <w:r w:rsidRPr="00A41604">
        <w:rPr>
          <w:lang w:val="fr-FR"/>
        </w:rPr>
        <w:t>  Le monitorage scientifique du Vésuve</w:t>
      </w:r>
    </w:p>
    <w:p w:rsidR="00DC23CA" w:rsidRDefault="00DC23CA" w:rsidP="00DD3422">
      <w:pPr>
        <w:pStyle w:val="ECHRPara"/>
        <w:rPr>
          <w:lang w:val="fr-FR"/>
        </w:rPr>
      </w:pPr>
      <w:r>
        <w:rPr>
          <w:lang w:val="fr-FR"/>
        </w:rPr>
        <w:t>12.  Le système de monitorage du volcan est géré à Naples par l</w:t>
      </w:r>
      <w:r w:rsidR="008D0C03">
        <w:rPr>
          <w:lang w:val="fr-FR"/>
        </w:rPr>
        <w:t>’</w:t>
      </w:r>
      <w:r>
        <w:rPr>
          <w:lang w:val="fr-FR"/>
        </w:rPr>
        <w:t>Institut national de géophysique et de volcanologie (INGV) et par l</w:t>
      </w:r>
      <w:r w:rsidR="008D0C03">
        <w:rPr>
          <w:lang w:val="fr-FR"/>
        </w:rPr>
        <w:t>’</w:t>
      </w:r>
      <w:r>
        <w:rPr>
          <w:lang w:val="fr-FR"/>
        </w:rPr>
        <w:t>Observatoire du Vésuve (OV), fondé en 1841. Basé sur un système de réseaux géophysiques et géochimiques transmettant des données, le système INGV-OV fournit constamment des informations concernant la sismicité au niveau régional.</w:t>
      </w:r>
    </w:p>
    <w:p w:rsidR="00DC23CA" w:rsidRDefault="00534AC3" w:rsidP="00DD3422">
      <w:pPr>
        <w:pStyle w:val="ECHRHeading4"/>
        <w:rPr>
          <w:lang w:val="fr-FR"/>
        </w:rPr>
      </w:pPr>
      <w:r>
        <w:rPr>
          <w:lang w:val="fr-FR"/>
        </w:rPr>
        <w:t>b)  </w:t>
      </w:r>
      <w:r w:rsidR="00DC23CA">
        <w:rPr>
          <w:lang w:val="fr-FR"/>
        </w:rPr>
        <w:t>L</w:t>
      </w:r>
      <w:r w:rsidR="008D0C03">
        <w:rPr>
          <w:lang w:val="fr-FR"/>
        </w:rPr>
        <w:t>’</w:t>
      </w:r>
      <w:r w:rsidR="00DC23CA">
        <w:rPr>
          <w:lang w:val="fr-FR"/>
        </w:rPr>
        <w:t>adoption du plan d</w:t>
      </w:r>
      <w:r w:rsidR="008D0C03">
        <w:rPr>
          <w:lang w:val="fr-FR"/>
        </w:rPr>
        <w:t>’</w:t>
      </w:r>
      <w:r w:rsidR="00DC23CA">
        <w:rPr>
          <w:lang w:val="fr-FR"/>
        </w:rPr>
        <w:t>urgence (« le Plan Vésuve »)</w:t>
      </w:r>
    </w:p>
    <w:p w:rsidR="00DC23CA" w:rsidRDefault="00DC23CA" w:rsidP="00DD3422">
      <w:pPr>
        <w:pStyle w:val="ECHRPara"/>
        <w:rPr>
          <w:lang w:val="fr-FR"/>
        </w:rPr>
      </w:pPr>
      <w:r>
        <w:rPr>
          <w:lang w:val="fr-FR"/>
        </w:rPr>
        <w:t>13.  Le Gouvernement expose qu</w:t>
      </w:r>
      <w:r w:rsidR="008D0C03">
        <w:rPr>
          <w:lang w:val="fr-FR"/>
        </w:rPr>
        <w:t>’</w:t>
      </w:r>
      <w:r>
        <w:rPr>
          <w:lang w:val="fr-FR"/>
        </w:rPr>
        <w:t>en octobre 1990, le Groupe national de volcanologie du Centre national des recherches, en collaboration avec la Préfecture de Naples, fournit au département de la Protection civile un rapport intitulé « Scénario de l</w:t>
      </w:r>
      <w:r w:rsidR="008D0C03">
        <w:rPr>
          <w:lang w:val="fr-FR"/>
        </w:rPr>
        <w:t>’</w:t>
      </w:r>
      <w:r>
        <w:rPr>
          <w:lang w:val="fr-FR"/>
        </w:rPr>
        <w:t>éruption du Vésuve », destiné à mettre en place des mesures d</w:t>
      </w:r>
      <w:r w:rsidR="008D0C03">
        <w:rPr>
          <w:lang w:val="fr-FR"/>
        </w:rPr>
        <w:t>’</w:t>
      </w:r>
      <w:r>
        <w:rPr>
          <w:lang w:val="fr-FR"/>
        </w:rPr>
        <w:t>urgence en cas d</w:t>
      </w:r>
      <w:r w:rsidR="008D0C03">
        <w:rPr>
          <w:lang w:val="fr-FR"/>
        </w:rPr>
        <w:t>’</w:t>
      </w:r>
      <w:r>
        <w:rPr>
          <w:lang w:val="fr-FR"/>
        </w:rPr>
        <w:t>éruption.</w:t>
      </w:r>
    </w:p>
    <w:p w:rsidR="00DC23CA" w:rsidRDefault="00DC23CA" w:rsidP="00DD3422">
      <w:pPr>
        <w:pStyle w:val="ECHRPara"/>
        <w:rPr>
          <w:lang w:val="fr-FR"/>
        </w:rPr>
      </w:pPr>
      <w:r>
        <w:rPr>
          <w:lang w:val="fr-FR"/>
        </w:rPr>
        <w:t>14.  Par ordonnance n</w:t>
      </w:r>
      <w:r w:rsidRPr="00DC23CA">
        <w:rPr>
          <w:vertAlign w:val="superscript"/>
          <w:lang w:val="fr-FR"/>
        </w:rPr>
        <w:t>o</w:t>
      </w:r>
      <w:r>
        <w:rPr>
          <w:lang w:val="fr-FR"/>
        </w:rPr>
        <w:t xml:space="preserve"> 2167 du 5 septembre 1991, le Ministre pour la coordination de la Protection civile institua une Commission chargée d</w:t>
      </w:r>
      <w:r w:rsidR="008D0C03">
        <w:rPr>
          <w:lang w:val="fr-FR"/>
        </w:rPr>
        <w:t>’</w:t>
      </w:r>
      <w:r>
        <w:rPr>
          <w:lang w:val="fr-FR"/>
        </w:rPr>
        <w:t>établir les risques liés à l</w:t>
      </w:r>
      <w:r w:rsidR="008D0C03">
        <w:rPr>
          <w:lang w:val="fr-FR"/>
        </w:rPr>
        <w:t>’</w:t>
      </w:r>
      <w:r>
        <w:rPr>
          <w:lang w:val="fr-FR"/>
        </w:rPr>
        <w:t>éruption du Vésuve en vue de la mise en place d</w:t>
      </w:r>
      <w:r w:rsidR="008D0C03">
        <w:rPr>
          <w:lang w:val="fr-FR"/>
        </w:rPr>
        <w:t>’</w:t>
      </w:r>
      <w:r>
        <w:rPr>
          <w:lang w:val="fr-FR"/>
        </w:rPr>
        <w:t>un plan d</w:t>
      </w:r>
      <w:r w:rsidR="008D0C03">
        <w:rPr>
          <w:lang w:val="fr-FR"/>
        </w:rPr>
        <w:t>’</w:t>
      </w:r>
      <w:r>
        <w:rPr>
          <w:lang w:val="fr-FR"/>
        </w:rPr>
        <w:t>urgence. Celle-ci termina ses travaux en octobre 1992.</w:t>
      </w:r>
    </w:p>
    <w:p w:rsidR="00DC23CA" w:rsidRDefault="00DC23CA" w:rsidP="00DD3422">
      <w:pPr>
        <w:pStyle w:val="ECHRPara"/>
        <w:rPr>
          <w:lang w:val="fr-FR"/>
        </w:rPr>
      </w:pPr>
      <w:r>
        <w:rPr>
          <w:lang w:val="fr-FR"/>
        </w:rPr>
        <w:t>15.  Par décret n</w:t>
      </w:r>
      <w:r w:rsidRPr="00DC23CA">
        <w:rPr>
          <w:vertAlign w:val="superscript"/>
          <w:lang w:val="fr-FR"/>
        </w:rPr>
        <w:t>o</w:t>
      </w:r>
      <w:r>
        <w:rPr>
          <w:lang w:val="fr-FR"/>
        </w:rPr>
        <w:t xml:space="preserve"> 516 du 9 août 1993, le Secrétaire d</w:t>
      </w:r>
      <w:r w:rsidR="008D0C03">
        <w:rPr>
          <w:lang w:val="fr-FR"/>
        </w:rPr>
        <w:t>’</w:t>
      </w:r>
      <w:r>
        <w:rPr>
          <w:lang w:val="fr-FR"/>
        </w:rPr>
        <w:t>État adjoint pour la Protection civile institua une Commission chargée de développer un plan d</w:t>
      </w:r>
      <w:r w:rsidR="008D0C03">
        <w:rPr>
          <w:lang w:val="fr-FR"/>
        </w:rPr>
        <w:t>’</w:t>
      </w:r>
      <w:r>
        <w:rPr>
          <w:lang w:val="fr-FR"/>
        </w:rPr>
        <w:t>urgence. Celle-ci était composée d</w:t>
      </w:r>
      <w:r w:rsidR="008D0C03">
        <w:rPr>
          <w:lang w:val="fr-FR"/>
        </w:rPr>
        <w:t>’</w:t>
      </w:r>
      <w:r>
        <w:rPr>
          <w:lang w:val="fr-FR"/>
        </w:rPr>
        <w:t>experts, de scientifiques, de techniciens de la Protection civile ainsi que de représentants des administrations locales.</w:t>
      </w:r>
    </w:p>
    <w:p w:rsidR="00DC23CA" w:rsidRDefault="00DC23CA" w:rsidP="00DD3422">
      <w:pPr>
        <w:pStyle w:val="ECHRPara"/>
        <w:rPr>
          <w:lang w:val="fr-FR"/>
        </w:rPr>
      </w:pPr>
      <w:r>
        <w:rPr>
          <w:lang w:val="fr-FR"/>
        </w:rPr>
        <w:t>16.  Les objectifs de cette Commission étaient notamment l</w:t>
      </w:r>
      <w:r w:rsidR="008D0C03">
        <w:rPr>
          <w:lang w:val="fr-FR"/>
        </w:rPr>
        <w:t>’</w:t>
      </w:r>
      <w:r>
        <w:rPr>
          <w:lang w:val="fr-FR"/>
        </w:rPr>
        <w:t>amélioration du système de surveillance du Vésuve, la réalisation d</w:t>
      </w:r>
      <w:r w:rsidR="008D0C03">
        <w:rPr>
          <w:lang w:val="fr-FR"/>
        </w:rPr>
        <w:t>’</w:t>
      </w:r>
      <w:r>
        <w:rPr>
          <w:lang w:val="fr-FR"/>
        </w:rPr>
        <w:t>une étude de vulnérabilité sismique ainsi que la mise en place d</w:t>
      </w:r>
      <w:r w:rsidR="008D0C03">
        <w:rPr>
          <w:lang w:val="fr-FR"/>
        </w:rPr>
        <w:t>’</w:t>
      </w:r>
      <w:r>
        <w:rPr>
          <w:lang w:val="fr-FR"/>
        </w:rPr>
        <w:t>instruments destinés à l</w:t>
      </w:r>
      <w:r w:rsidR="008D0C03">
        <w:rPr>
          <w:lang w:val="fr-FR"/>
        </w:rPr>
        <w:t>’</w:t>
      </w:r>
      <w:r>
        <w:rPr>
          <w:lang w:val="fr-FR"/>
        </w:rPr>
        <w:t>information de la population locale.</w:t>
      </w:r>
    </w:p>
    <w:p w:rsidR="00DC23CA" w:rsidRDefault="00DC23CA" w:rsidP="00DD3422">
      <w:pPr>
        <w:pStyle w:val="ECHRPara"/>
        <w:rPr>
          <w:lang w:val="fr-FR"/>
        </w:rPr>
      </w:pPr>
      <w:r>
        <w:rPr>
          <w:lang w:val="fr-FR"/>
        </w:rPr>
        <w:t>17.  À l</w:t>
      </w:r>
      <w:r w:rsidR="008D0C03">
        <w:rPr>
          <w:lang w:val="fr-FR"/>
        </w:rPr>
        <w:t>’</w:t>
      </w:r>
      <w:r>
        <w:rPr>
          <w:lang w:val="fr-FR"/>
        </w:rPr>
        <w:t>issue des travaux de cette Commission, en 1995, le premier document de planification nationale d</w:t>
      </w:r>
      <w:r w:rsidR="008D0C03">
        <w:rPr>
          <w:lang w:val="fr-FR"/>
        </w:rPr>
        <w:t>’</w:t>
      </w:r>
      <w:r>
        <w:rPr>
          <w:lang w:val="fr-FR"/>
        </w:rPr>
        <w:t>urgence concernant la région du Vésuve fut approuvé (« le Plan Vésuve »). Celui-ci se composait de plans détaillés, rédigés par les municipalités situées dans les zones à risque, et d</w:t>
      </w:r>
      <w:r w:rsidR="008D0C03">
        <w:rPr>
          <w:lang w:val="fr-FR"/>
        </w:rPr>
        <w:t>’</w:t>
      </w:r>
      <w:r>
        <w:rPr>
          <w:lang w:val="fr-FR"/>
        </w:rPr>
        <w:t>un plan général, prévoyant les modalités d</w:t>
      </w:r>
      <w:r w:rsidR="008D0C03">
        <w:rPr>
          <w:lang w:val="fr-FR"/>
        </w:rPr>
        <w:t>’</w:t>
      </w:r>
      <w:r>
        <w:rPr>
          <w:lang w:val="fr-FR"/>
        </w:rPr>
        <w:t>intervention du système national de Protection civile par la mise en place de stratégies opérationnelles et la définition d</w:t>
      </w:r>
      <w:r w:rsidR="008D0C03">
        <w:rPr>
          <w:lang w:val="fr-FR"/>
        </w:rPr>
        <w:t>’</w:t>
      </w:r>
      <w:r>
        <w:rPr>
          <w:lang w:val="fr-FR"/>
        </w:rPr>
        <w:t>objectifs spécifiques concernant chaque unité opérationnelle appelée à intervenir en cas d</w:t>
      </w:r>
      <w:r w:rsidR="008D0C03">
        <w:rPr>
          <w:lang w:val="fr-FR"/>
        </w:rPr>
        <w:t>’</w:t>
      </w:r>
      <w:r>
        <w:rPr>
          <w:lang w:val="fr-FR"/>
        </w:rPr>
        <w:t>approche d</w:t>
      </w:r>
      <w:r w:rsidR="008D0C03">
        <w:rPr>
          <w:lang w:val="fr-FR"/>
        </w:rPr>
        <w:t>’</w:t>
      </w:r>
      <w:r>
        <w:rPr>
          <w:lang w:val="fr-FR"/>
        </w:rPr>
        <w:t>un éventuel événement volcanique.</w:t>
      </w:r>
    </w:p>
    <w:p w:rsidR="00DC23CA" w:rsidRDefault="00DC23CA" w:rsidP="00DD3422">
      <w:pPr>
        <w:pStyle w:val="ECHRHeading4"/>
        <w:rPr>
          <w:lang w:val="fr-FR"/>
        </w:rPr>
      </w:pPr>
      <w:r>
        <w:rPr>
          <w:lang w:val="fr-FR"/>
        </w:rPr>
        <w:t>c) </w:t>
      </w:r>
      <w:r w:rsidRPr="00BB38E6">
        <w:rPr>
          <w:lang w:val="fr-FR"/>
        </w:rPr>
        <w:t> </w:t>
      </w:r>
      <w:r>
        <w:rPr>
          <w:lang w:val="fr-FR"/>
        </w:rPr>
        <w:t>La mise à jour du « Plan Vésuve »</w:t>
      </w:r>
    </w:p>
    <w:p w:rsidR="00DC23CA" w:rsidRDefault="00DC23CA" w:rsidP="00DD3422">
      <w:pPr>
        <w:pStyle w:val="ECHRPara"/>
        <w:rPr>
          <w:lang w:val="fr-FR"/>
        </w:rPr>
      </w:pPr>
      <w:r>
        <w:rPr>
          <w:lang w:val="fr-FR"/>
        </w:rPr>
        <w:t>18.  Par décret n</w:t>
      </w:r>
      <w:r w:rsidRPr="00DC23CA">
        <w:rPr>
          <w:vertAlign w:val="superscript"/>
          <w:lang w:val="fr-FR"/>
        </w:rPr>
        <w:t>o</w:t>
      </w:r>
      <w:r>
        <w:rPr>
          <w:lang w:val="fr-FR"/>
        </w:rPr>
        <w:t xml:space="preserve"> 247 du 1</w:t>
      </w:r>
      <w:r w:rsidRPr="00EB29FA">
        <w:rPr>
          <w:vertAlign w:val="superscript"/>
          <w:lang w:val="fr-FR"/>
        </w:rPr>
        <w:t>er</w:t>
      </w:r>
      <w:r>
        <w:rPr>
          <w:lang w:val="fr-FR"/>
        </w:rPr>
        <w:t xml:space="preserve"> février 1996, une Commission fut créée afin de mettre à jour le plan mentionné ci-dessus. Le 20 mars 2001, celle-ci publia un rapport fournissant des détails quant à la typologie d</w:t>
      </w:r>
      <w:r w:rsidR="008D0C03">
        <w:rPr>
          <w:lang w:val="fr-FR"/>
        </w:rPr>
        <w:t>’</w:t>
      </w:r>
      <w:r>
        <w:rPr>
          <w:lang w:val="fr-FR"/>
        </w:rPr>
        <w:t xml:space="preserve">éruption possible et établissant les zones à haut risque, notamment la zone rouge, </w:t>
      </w:r>
      <w:r>
        <w:rPr>
          <w:lang w:val="fr-FR"/>
        </w:rPr>
        <w:lastRenderedPageBreak/>
        <w:t>composée de dix-huit municipalités et s</w:t>
      </w:r>
      <w:r w:rsidR="008D0C03">
        <w:rPr>
          <w:lang w:val="fr-FR"/>
        </w:rPr>
        <w:t>’</w:t>
      </w:r>
      <w:r>
        <w:rPr>
          <w:lang w:val="fr-FR"/>
        </w:rPr>
        <w:t>étendant sur environ deux cents kilomètres carrés. La stratégie d</w:t>
      </w:r>
      <w:r w:rsidR="008D0C03">
        <w:rPr>
          <w:lang w:val="fr-FR"/>
        </w:rPr>
        <w:t>’</w:t>
      </w:r>
      <w:r>
        <w:rPr>
          <w:lang w:val="fr-FR"/>
        </w:rPr>
        <w:t>intervention prévoyait notamment une phase d</w:t>
      </w:r>
      <w:r w:rsidR="008D0C03">
        <w:rPr>
          <w:lang w:val="fr-FR"/>
        </w:rPr>
        <w:t>’</w:t>
      </w:r>
      <w:r>
        <w:rPr>
          <w:lang w:val="fr-FR"/>
        </w:rPr>
        <w:t>alerte, l</w:t>
      </w:r>
      <w:r w:rsidR="008D0C03">
        <w:rPr>
          <w:lang w:val="fr-FR"/>
        </w:rPr>
        <w:t>’</w:t>
      </w:r>
      <w:r>
        <w:rPr>
          <w:lang w:val="fr-FR"/>
        </w:rPr>
        <w:t>ordre d</w:t>
      </w:r>
      <w:r w:rsidR="008D0C03">
        <w:rPr>
          <w:lang w:val="fr-FR"/>
        </w:rPr>
        <w:t>’</w:t>
      </w:r>
      <w:r>
        <w:rPr>
          <w:lang w:val="fr-FR"/>
        </w:rPr>
        <w:t>évacuation, destiné en priorité à la zone rouge, et l</w:t>
      </w:r>
      <w:r w:rsidR="008D0C03">
        <w:rPr>
          <w:lang w:val="fr-FR"/>
        </w:rPr>
        <w:t>’</w:t>
      </w:r>
      <w:r>
        <w:rPr>
          <w:lang w:val="fr-FR"/>
        </w:rPr>
        <w:t>éloignement de la population en direction de différentes régions jumelées avec la Région Campanie.</w:t>
      </w:r>
    </w:p>
    <w:p w:rsidR="00DC23CA" w:rsidRDefault="00DC23CA" w:rsidP="00DD3422">
      <w:pPr>
        <w:pStyle w:val="ECHRPara"/>
        <w:rPr>
          <w:lang w:val="fr-FR"/>
        </w:rPr>
      </w:pPr>
      <w:r>
        <w:rPr>
          <w:lang w:val="fr-FR"/>
        </w:rPr>
        <w:t>19.  Dans le cadre de cette mise à jour, d</w:t>
      </w:r>
      <w:r w:rsidR="008D0C03">
        <w:rPr>
          <w:lang w:val="fr-FR"/>
        </w:rPr>
        <w:t>’</w:t>
      </w:r>
      <w:r>
        <w:rPr>
          <w:lang w:val="fr-FR"/>
        </w:rPr>
        <w:t>autres études furent menées, concernant notamment la vulnérabilité sismique de la zone rouge, la planification de flux d</w:t>
      </w:r>
      <w:r w:rsidR="008D0C03">
        <w:rPr>
          <w:lang w:val="fr-FR"/>
        </w:rPr>
        <w:t>’</w:t>
      </w:r>
      <w:r>
        <w:rPr>
          <w:lang w:val="fr-FR"/>
        </w:rPr>
        <w:t>évacuation à travers l</w:t>
      </w:r>
      <w:r w:rsidR="008D0C03">
        <w:rPr>
          <w:lang w:val="fr-FR"/>
        </w:rPr>
        <w:t>’</w:t>
      </w:r>
      <w:r>
        <w:rPr>
          <w:lang w:val="fr-FR"/>
        </w:rPr>
        <w:t>étude de la viabilité et la réalisation d</w:t>
      </w:r>
      <w:r w:rsidR="008D0C03">
        <w:rPr>
          <w:lang w:val="fr-FR"/>
        </w:rPr>
        <w:t>’</w:t>
      </w:r>
      <w:r>
        <w:rPr>
          <w:lang w:val="fr-FR"/>
        </w:rPr>
        <w:t>un système informatique avec cartographie digitale, distribué ensuite aux autorités locales.</w:t>
      </w:r>
    </w:p>
    <w:p w:rsidR="00DC23CA" w:rsidRDefault="00DC23CA" w:rsidP="00DD3422">
      <w:pPr>
        <w:pStyle w:val="ECHRPara"/>
        <w:rPr>
          <w:lang w:val="fr-FR"/>
        </w:rPr>
      </w:pPr>
      <w:r>
        <w:rPr>
          <w:lang w:val="fr-FR"/>
        </w:rPr>
        <w:t>20.  Parallèlement, plusieurs exercices de simulation de la Protection civile furent exécutés en 1996, 1999, 2000 et 2001.</w:t>
      </w:r>
    </w:p>
    <w:p w:rsidR="00DC23CA" w:rsidRDefault="00DC23CA" w:rsidP="00DD3422">
      <w:pPr>
        <w:pStyle w:val="ECHRPara"/>
        <w:rPr>
          <w:lang w:val="fr-FR"/>
        </w:rPr>
      </w:pPr>
      <w:r>
        <w:rPr>
          <w:lang w:val="fr-FR"/>
        </w:rPr>
        <w:t>21.  Quant aux informations à fournir à la population en cas d</w:t>
      </w:r>
      <w:r w:rsidR="008D0C03">
        <w:rPr>
          <w:lang w:val="fr-FR"/>
        </w:rPr>
        <w:t>’</w:t>
      </w:r>
      <w:r>
        <w:rPr>
          <w:lang w:val="fr-FR"/>
        </w:rPr>
        <w:t>urgence, des cours de formation pour les enseignants travaillant dans la région du Vésuve furent organisés, dans le but d</w:t>
      </w:r>
      <w:r w:rsidR="008D0C03">
        <w:rPr>
          <w:lang w:val="fr-FR"/>
        </w:rPr>
        <w:t>’</w:t>
      </w:r>
      <w:r>
        <w:rPr>
          <w:lang w:val="fr-FR"/>
        </w:rPr>
        <w:t>utiliser les écoles comme lieu de diffusion d</w:t>
      </w:r>
      <w:r w:rsidR="008D0C03">
        <w:rPr>
          <w:lang w:val="fr-FR"/>
        </w:rPr>
        <w:t>’</w:t>
      </w:r>
      <w:r>
        <w:rPr>
          <w:lang w:val="fr-FR"/>
        </w:rPr>
        <w:t>informations concernant la Protection civile, les connaissances liées aux risques volcaniques et le plan d</w:t>
      </w:r>
      <w:r w:rsidR="008D0C03">
        <w:rPr>
          <w:lang w:val="fr-FR"/>
        </w:rPr>
        <w:t>’</w:t>
      </w:r>
      <w:r>
        <w:rPr>
          <w:lang w:val="fr-FR"/>
        </w:rPr>
        <w:t>urgence.</w:t>
      </w:r>
    </w:p>
    <w:p w:rsidR="00DC23CA" w:rsidRDefault="00DC23CA" w:rsidP="00DD3422">
      <w:pPr>
        <w:pStyle w:val="ECHRPara"/>
        <w:rPr>
          <w:lang w:val="fr-FR"/>
        </w:rPr>
      </w:pPr>
      <w:r>
        <w:rPr>
          <w:lang w:val="fr-FR"/>
        </w:rPr>
        <w:t>22.  En outre, à la suite de l</w:t>
      </w:r>
      <w:r w:rsidR="008D0C03">
        <w:rPr>
          <w:lang w:val="fr-FR"/>
        </w:rPr>
        <w:t>’</w:t>
      </w:r>
      <w:r>
        <w:rPr>
          <w:lang w:val="fr-FR"/>
        </w:rPr>
        <w:t>approbation du rapport de mise à jour, une section consacrée à la planification de la région du Vésuve fut créée sur le site Internet de la Protection civile.</w:t>
      </w:r>
    </w:p>
    <w:p w:rsidR="00DC23CA" w:rsidRDefault="00DC23CA" w:rsidP="00DD3422">
      <w:pPr>
        <w:pStyle w:val="ECHRPara"/>
        <w:rPr>
          <w:lang w:val="fr-FR"/>
        </w:rPr>
      </w:pPr>
      <w:r>
        <w:rPr>
          <w:lang w:val="fr-FR"/>
        </w:rPr>
        <w:t>23.  La dernière Commission, instituée par décret du Ministre de l</w:t>
      </w:r>
      <w:r w:rsidR="008D0C03">
        <w:rPr>
          <w:lang w:val="fr-FR"/>
        </w:rPr>
        <w:t>’</w:t>
      </w:r>
      <w:r>
        <w:rPr>
          <w:lang w:val="fr-FR"/>
        </w:rPr>
        <w:t>Intérieur n</w:t>
      </w:r>
      <w:r w:rsidRPr="00DC23CA">
        <w:rPr>
          <w:vertAlign w:val="superscript"/>
          <w:lang w:val="fr-FR"/>
        </w:rPr>
        <w:t>o</w:t>
      </w:r>
      <w:r>
        <w:rPr>
          <w:lang w:val="fr-FR"/>
        </w:rPr>
        <w:t> 1821 du 18 juin 2002, était composée de quatre groupes chargés respectivement des domaines suivants : (i) scénario d</w:t>
      </w:r>
      <w:r w:rsidR="008D0C03">
        <w:rPr>
          <w:lang w:val="fr-FR"/>
        </w:rPr>
        <w:t>’alerte, (ii) </w:t>
      </w:r>
      <w:r>
        <w:rPr>
          <w:lang w:val="fr-FR"/>
        </w:rPr>
        <w:t>routes, transports et logistique, (iii) information et éducation et (iv) plans d</w:t>
      </w:r>
      <w:r w:rsidR="008D0C03">
        <w:rPr>
          <w:lang w:val="fr-FR"/>
        </w:rPr>
        <w:t>’</w:t>
      </w:r>
      <w:r>
        <w:rPr>
          <w:lang w:val="fr-FR"/>
        </w:rPr>
        <w:t>urgence municipaux.</w:t>
      </w:r>
    </w:p>
    <w:p w:rsidR="00DC23CA" w:rsidRDefault="00DC23CA" w:rsidP="00DD3422">
      <w:pPr>
        <w:pStyle w:val="ECHRHeading4"/>
        <w:rPr>
          <w:lang w:val="fr-FR"/>
        </w:rPr>
      </w:pPr>
      <w:r>
        <w:rPr>
          <w:lang w:val="fr-FR"/>
        </w:rPr>
        <w:t>d)  L</w:t>
      </w:r>
      <w:r w:rsidR="008D0C03">
        <w:rPr>
          <w:lang w:val="fr-FR"/>
        </w:rPr>
        <w:t>’</w:t>
      </w:r>
      <w:r>
        <w:rPr>
          <w:lang w:val="fr-FR"/>
        </w:rPr>
        <w:t>étude de 2006 et la simulation « Mesimex »</w:t>
      </w:r>
    </w:p>
    <w:p w:rsidR="00DC23CA" w:rsidRDefault="00DC23CA" w:rsidP="00DD3422">
      <w:pPr>
        <w:pStyle w:val="ECHRPara"/>
        <w:rPr>
          <w:lang w:val="fr-FR"/>
        </w:rPr>
      </w:pPr>
      <w:r>
        <w:rPr>
          <w:lang w:val="fr-FR"/>
        </w:rPr>
        <w:t>24.  Une étude approfondie concernant la viabilité du possible exode et les modalités d</w:t>
      </w:r>
      <w:r w:rsidR="008D0C03">
        <w:rPr>
          <w:lang w:val="fr-FR"/>
        </w:rPr>
        <w:t>’</w:t>
      </w:r>
      <w:r>
        <w:rPr>
          <w:lang w:val="fr-FR"/>
        </w:rPr>
        <w:t>évacuation fut élaborée en 2006 par la Faculté d</w:t>
      </w:r>
      <w:r w:rsidR="008D0C03">
        <w:rPr>
          <w:lang w:val="fr-FR"/>
        </w:rPr>
        <w:t>’</w:t>
      </w:r>
      <w:r>
        <w:rPr>
          <w:lang w:val="fr-FR"/>
        </w:rPr>
        <w:t>ingénierie des transports de l</w:t>
      </w:r>
      <w:r w:rsidR="008D0C03">
        <w:rPr>
          <w:lang w:val="fr-FR"/>
        </w:rPr>
        <w:t>’</w:t>
      </w:r>
      <w:r>
        <w:rPr>
          <w:lang w:val="fr-FR"/>
        </w:rPr>
        <w:t>Université « la Sapienza » de Rome, à la demande du département de la Protection civile. Ce rapport fait l</w:t>
      </w:r>
      <w:r w:rsidR="008D0C03">
        <w:rPr>
          <w:lang w:val="fr-FR"/>
        </w:rPr>
        <w:t>’</w:t>
      </w:r>
      <w:r>
        <w:rPr>
          <w:lang w:val="fr-FR"/>
        </w:rPr>
        <w:t>objet d</w:t>
      </w:r>
      <w:r w:rsidR="008D0C03">
        <w:rPr>
          <w:lang w:val="fr-FR"/>
        </w:rPr>
        <w:t>’</w:t>
      </w:r>
      <w:r>
        <w:rPr>
          <w:lang w:val="fr-FR"/>
        </w:rPr>
        <w:t>une mise à jour à l</w:t>
      </w:r>
      <w:r w:rsidR="008D0C03">
        <w:rPr>
          <w:lang w:val="fr-FR"/>
        </w:rPr>
        <w:t>’</w:t>
      </w:r>
      <w:r>
        <w:rPr>
          <w:lang w:val="fr-FR"/>
        </w:rPr>
        <w:t>heure actuelle.</w:t>
      </w:r>
    </w:p>
    <w:p w:rsidR="00DC23CA" w:rsidRDefault="00DC23CA" w:rsidP="00DD3422">
      <w:pPr>
        <w:pStyle w:val="ECHRPara"/>
        <w:rPr>
          <w:lang w:val="fr-FR"/>
        </w:rPr>
      </w:pPr>
      <w:r>
        <w:rPr>
          <w:lang w:val="fr-FR"/>
        </w:rPr>
        <w:t>25.  Toujours en 2006, l</w:t>
      </w:r>
      <w:r w:rsidR="008D0C03">
        <w:rPr>
          <w:lang w:val="fr-FR"/>
        </w:rPr>
        <w:t>’</w:t>
      </w:r>
      <w:r>
        <w:rPr>
          <w:lang w:val="fr-FR"/>
        </w:rPr>
        <w:t>exercice de simulation international Mesimex (</w:t>
      </w:r>
      <w:r w:rsidRPr="00337326">
        <w:rPr>
          <w:i/>
          <w:lang w:val="fr-FR"/>
        </w:rPr>
        <w:t xml:space="preserve">Major emergency simulation </w:t>
      </w:r>
      <w:r w:rsidRPr="000438C1">
        <w:rPr>
          <w:i/>
          <w:lang w:val="fr-FR"/>
        </w:rPr>
        <w:t>exercise</w:t>
      </w:r>
      <w:r>
        <w:rPr>
          <w:lang w:val="fr-FR"/>
        </w:rPr>
        <w:t>), financé entre autres par l</w:t>
      </w:r>
      <w:r w:rsidR="008D0C03">
        <w:rPr>
          <w:lang w:val="fr-FR"/>
        </w:rPr>
        <w:t>’</w:t>
      </w:r>
      <w:r>
        <w:rPr>
          <w:lang w:val="fr-FR"/>
        </w:rPr>
        <w:t>Union européenne, fut réalisé. Des experts de différents pays (France, Portugal, Espagne et Suède) prirent part à ce projet. Une centaine d</w:t>
      </w:r>
      <w:r w:rsidR="008D0C03">
        <w:rPr>
          <w:lang w:val="fr-FR"/>
        </w:rPr>
        <w:t>’</w:t>
      </w:r>
      <w:r>
        <w:rPr>
          <w:lang w:val="fr-FR"/>
        </w:rPr>
        <w:t>habitants par municipalité (parmi celles faisant partie de la zone rouge) participèrent à la simulation et furent accueillis dans des zones « de contrôle » créées tout au long de la voie d</w:t>
      </w:r>
      <w:r w:rsidR="008D0C03">
        <w:rPr>
          <w:lang w:val="fr-FR"/>
        </w:rPr>
        <w:t>’</w:t>
      </w:r>
      <w:r>
        <w:rPr>
          <w:lang w:val="fr-FR"/>
        </w:rPr>
        <w:t>évacuation.</w:t>
      </w:r>
    </w:p>
    <w:p w:rsidR="00DC23CA" w:rsidRDefault="00DC23CA" w:rsidP="00DD3422">
      <w:pPr>
        <w:pStyle w:val="ECHRHeading4"/>
        <w:rPr>
          <w:lang w:val="fr-FR"/>
        </w:rPr>
      </w:pPr>
      <w:r>
        <w:rPr>
          <w:lang w:val="fr-FR"/>
        </w:rPr>
        <w:t>e)  La révision du « Plan Vésuve » et l</w:t>
      </w:r>
      <w:r w:rsidR="008D0C03">
        <w:rPr>
          <w:lang w:val="fr-FR"/>
        </w:rPr>
        <w:t>’</w:t>
      </w:r>
      <w:r>
        <w:rPr>
          <w:lang w:val="fr-FR"/>
        </w:rPr>
        <w:t>élargissement de la zone rouge</w:t>
      </w:r>
    </w:p>
    <w:p w:rsidR="00DC23CA" w:rsidRDefault="00DC23CA" w:rsidP="00DD3422">
      <w:pPr>
        <w:pStyle w:val="ECHRPara"/>
        <w:rPr>
          <w:lang w:val="fr-FR"/>
        </w:rPr>
      </w:pPr>
      <w:r>
        <w:rPr>
          <w:lang w:val="fr-FR"/>
        </w:rPr>
        <w:t>26.  À la suite de l</w:t>
      </w:r>
      <w:r w:rsidR="008D0C03">
        <w:rPr>
          <w:lang w:val="fr-FR"/>
        </w:rPr>
        <w:t>’</w:t>
      </w:r>
      <w:r>
        <w:rPr>
          <w:lang w:val="fr-FR"/>
        </w:rPr>
        <w:t xml:space="preserve">étude et de la simulation de 2006, une révision de la stratégie opérationnelle du « Plan Vésuve » fut approuvée par le département de la Protection civile, la région Campanie, la Préfecture et la </w:t>
      </w:r>
      <w:r>
        <w:rPr>
          <w:lang w:val="fr-FR"/>
        </w:rPr>
        <w:lastRenderedPageBreak/>
        <w:t>province de Naples et par le INGV-OV. Depuis, ce plan a été constamment mis à jour.</w:t>
      </w:r>
    </w:p>
    <w:p w:rsidR="00DC23CA" w:rsidRDefault="00DC23CA" w:rsidP="00DD3422">
      <w:pPr>
        <w:pStyle w:val="ECHRPara"/>
        <w:rPr>
          <w:lang w:val="fr-FR"/>
        </w:rPr>
      </w:pPr>
      <w:r>
        <w:rPr>
          <w:lang w:val="fr-FR"/>
        </w:rPr>
        <w:t>27.  Sur la base des nouvelles données recueillies et des échanges avec les administrations locales, par décret n</w:t>
      </w:r>
      <w:r w:rsidRPr="00DC23CA">
        <w:rPr>
          <w:vertAlign w:val="superscript"/>
          <w:lang w:val="fr-FR"/>
        </w:rPr>
        <w:t>o</w:t>
      </w:r>
      <w:r>
        <w:rPr>
          <w:lang w:val="fr-FR"/>
        </w:rPr>
        <w:t xml:space="preserve"> 250 du 26 juillet 2013, la Région Campanie décida d</w:t>
      </w:r>
      <w:r w:rsidR="008D0C03">
        <w:rPr>
          <w:lang w:val="fr-FR"/>
        </w:rPr>
        <w:t>’</w:t>
      </w:r>
      <w:r>
        <w:rPr>
          <w:lang w:val="fr-FR"/>
        </w:rPr>
        <w:t>élargir la zone rouge à vingt-cinq municipalités se situant dans les provinces de Naples et Salerne. Le 14 février 2014, le Président du Conseil des Ministres émit donc une directive identifiant l</w:t>
      </w:r>
      <w:r w:rsidR="008D0C03">
        <w:rPr>
          <w:lang w:val="fr-FR"/>
        </w:rPr>
        <w:t>’</w:t>
      </w:r>
      <w:r>
        <w:rPr>
          <w:lang w:val="fr-FR"/>
        </w:rPr>
        <w:t>ampleur du nouveau périmètre.</w:t>
      </w:r>
    </w:p>
    <w:p w:rsidR="00DC23CA" w:rsidRPr="000D6D2A" w:rsidRDefault="00DC23CA" w:rsidP="00DD3422">
      <w:pPr>
        <w:pStyle w:val="ECHRHeading4"/>
        <w:rPr>
          <w:i/>
          <w:lang w:val="fr-FR"/>
        </w:rPr>
      </w:pPr>
      <w:r>
        <w:rPr>
          <w:lang w:val="fr-FR"/>
        </w:rPr>
        <w:t>f)</w:t>
      </w:r>
      <w:r w:rsidR="00534AC3">
        <w:rPr>
          <w:i/>
          <w:lang w:val="fr-FR"/>
        </w:rPr>
        <w:t>  </w:t>
      </w:r>
      <w:r w:rsidRPr="00AE0CF0">
        <w:rPr>
          <w:lang w:val="fr-FR"/>
        </w:rPr>
        <w:t xml:space="preserve">La </w:t>
      </w:r>
      <w:r>
        <w:rPr>
          <w:lang w:val="fr-FR"/>
        </w:rPr>
        <w:t>gestion des zones urbaines</w:t>
      </w:r>
    </w:p>
    <w:p w:rsidR="00DC23CA" w:rsidRDefault="00DC23CA" w:rsidP="00DD3422">
      <w:pPr>
        <w:pStyle w:val="ECHRPara"/>
        <w:rPr>
          <w:lang w:val="fr-FR"/>
        </w:rPr>
      </w:pPr>
      <w:r>
        <w:rPr>
          <w:lang w:val="fr-FR"/>
        </w:rPr>
        <w:t>28.  Par décret n</w:t>
      </w:r>
      <w:r w:rsidRPr="00DC23CA">
        <w:rPr>
          <w:vertAlign w:val="superscript"/>
          <w:lang w:val="fr-FR"/>
        </w:rPr>
        <w:t>o</w:t>
      </w:r>
      <w:r>
        <w:rPr>
          <w:lang w:val="fr-FR"/>
        </w:rPr>
        <w:t xml:space="preserve"> 2139 du 20 juin 2003, la région Campanie approuva un programme d</w:t>
      </w:r>
      <w:r w:rsidR="008D0C03">
        <w:rPr>
          <w:lang w:val="fr-FR"/>
        </w:rPr>
        <w:t>’</w:t>
      </w:r>
      <w:r>
        <w:rPr>
          <w:lang w:val="fr-FR"/>
        </w:rPr>
        <w:t>intervention destiné à mitiger les risques volcaniques à travers des aides financières pour l</w:t>
      </w:r>
      <w:r w:rsidR="008D0C03">
        <w:rPr>
          <w:lang w:val="fr-FR"/>
        </w:rPr>
        <w:t>’</w:t>
      </w:r>
      <w:r>
        <w:rPr>
          <w:lang w:val="fr-FR"/>
        </w:rPr>
        <w:t>achat d</w:t>
      </w:r>
      <w:r w:rsidR="008D0C03">
        <w:rPr>
          <w:lang w:val="fr-FR"/>
        </w:rPr>
        <w:t>’</w:t>
      </w:r>
      <w:r>
        <w:rPr>
          <w:lang w:val="fr-FR"/>
        </w:rPr>
        <w:t>un logement en vue du transfert des habitants dans des zones autres que celles à risque, à contrer l</w:t>
      </w:r>
      <w:r w:rsidR="008D0C03">
        <w:rPr>
          <w:lang w:val="fr-FR"/>
        </w:rPr>
        <w:t>’</w:t>
      </w:r>
      <w:r>
        <w:rPr>
          <w:lang w:val="fr-FR"/>
        </w:rPr>
        <w:t>expansion des constructions abusives et à convertir les bâtiments résidentiels existant en activités productives.</w:t>
      </w:r>
    </w:p>
    <w:p w:rsidR="00DC23CA" w:rsidRPr="00B46CDB" w:rsidRDefault="00DC23CA" w:rsidP="00DD3422">
      <w:pPr>
        <w:pStyle w:val="ECHRPara"/>
        <w:rPr>
          <w:lang w:val="fr-FR"/>
        </w:rPr>
      </w:pPr>
      <w:r>
        <w:rPr>
          <w:lang w:val="fr-FR"/>
        </w:rPr>
        <w:t>29.  La loi régionale n</w:t>
      </w:r>
      <w:r w:rsidRPr="00DC23CA">
        <w:rPr>
          <w:vertAlign w:val="superscript"/>
          <w:lang w:val="fr-FR"/>
        </w:rPr>
        <w:t>o</w:t>
      </w:r>
      <w:r>
        <w:rPr>
          <w:lang w:val="fr-FR"/>
        </w:rPr>
        <w:t xml:space="preserve"> 21 du 10 décembre 2003 prévoit des mesures similaires en ajoutant la possibilité pour les habitants de la zone rouge d</w:t>
      </w:r>
      <w:r w:rsidR="008D0C03">
        <w:rPr>
          <w:lang w:val="fr-FR"/>
        </w:rPr>
        <w:t>’</w:t>
      </w:r>
      <w:r>
        <w:rPr>
          <w:lang w:val="fr-FR"/>
        </w:rPr>
        <w:t>obtenir des logements sociaux en vue de faciliter leur transfert dans d</w:t>
      </w:r>
      <w:r w:rsidR="008D0C03">
        <w:rPr>
          <w:lang w:val="fr-FR"/>
        </w:rPr>
        <w:t>’</w:t>
      </w:r>
      <w:r>
        <w:rPr>
          <w:lang w:val="fr-FR"/>
        </w:rPr>
        <w:t>autres municipalités.</w:t>
      </w:r>
    </w:p>
    <w:p w:rsidR="00DC23CA" w:rsidRPr="0072720E" w:rsidRDefault="00DC23CA" w:rsidP="00DD3422">
      <w:pPr>
        <w:pStyle w:val="ECHRTitle1"/>
        <w:rPr>
          <w:lang w:val="fr-FR"/>
        </w:rPr>
      </w:pPr>
      <w:r w:rsidRPr="0072720E">
        <w:rPr>
          <w:lang w:val="fr-FR"/>
        </w:rPr>
        <w:t>GRIEFS</w:t>
      </w:r>
    </w:p>
    <w:p w:rsidR="00DC23CA" w:rsidRDefault="00DC23CA" w:rsidP="00DD3422">
      <w:pPr>
        <w:pStyle w:val="ECHRPara"/>
        <w:rPr>
          <w:lang w:val="fr-FR"/>
        </w:rPr>
      </w:pPr>
      <w:r>
        <w:rPr>
          <w:lang w:val="fr-FR"/>
        </w:rPr>
        <w:t>30.  </w:t>
      </w:r>
      <w:r w:rsidRPr="005D5D2B">
        <w:rPr>
          <w:lang w:val="fr-FR"/>
        </w:rPr>
        <w:t>Invoquant l</w:t>
      </w:r>
      <w:r w:rsidR="008D0C03">
        <w:rPr>
          <w:lang w:val="fr-FR"/>
        </w:rPr>
        <w:t>’</w:t>
      </w:r>
      <w:r w:rsidRPr="005D5D2B">
        <w:rPr>
          <w:lang w:val="fr-FR"/>
        </w:rPr>
        <w:t>article 2 de la Convention, les requérants se plaignent du fait que le Gouvernement a</w:t>
      </w:r>
      <w:r>
        <w:rPr>
          <w:lang w:val="fr-FR"/>
        </w:rPr>
        <w:t>urait</w:t>
      </w:r>
      <w:r w:rsidRPr="005D5D2B">
        <w:rPr>
          <w:lang w:val="fr-FR"/>
        </w:rPr>
        <w:t xml:space="preserve"> omis de mettre en place un cadre règlementaire et administratif en vue de protéger leur vie en cas d</w:t>
      </w:r>
      <w:r w:rsidR="008D0C03">
        <w:rPr>
          <w:lang w:val="fr-FR"/>
        </w:rPr>
        <w:t>’</w:t>
      </w:r>
      <w:r w:rsidRPr="005D5D2B">
        <w:rPr>
          <w:lang w:val="fr-FR"/>
        </w:rPr>
        <w:t xml:space="preserve">éruption </w:t>
      </w:r>
      <w:r>
        <w:rPr>
          <w:lang w:val="fr-FR"/>
        </w:rPr>
        <w:t xml:space="preserve">du Vésuve </w:t>
      </w:r>
      <w:r w:rsidRPr="005D5D2B">
        <w:rPr>
          <w:lang w:val="fr-FR"/>
        </w:rPr>
        <w:t>ou d</w:t>
      </w:r>
      <w:r w:rsidR="008D0C03">
        <w:rPr>
          <w:lang w:val="fr-FR"/>
        </w:rPr>
        <w:t>’</w:t>
      </w:r>
      <w:r w:rsidRPr="005D5D2B">
        <w:rPr>
          <w:lang w:val="fr-FR"/>
        </w:rPr>
        <w:t>autres accidents (tels que des tremblements de terre)</w:t>
      </w:r>
      <w:r>
        <w:rPr>
          <w:lang w:val="fr-FR"/>
        </w:rPr>
        <w:t xml:space="preserve">, </w:t>
      </w:r>
      <w:r w:rsidRPr="00803F06">
        <w:rPr>
          <w:lang w:val="fr-FR"/>
        </w:rPr>
        <w:t>consistant notamment en la déclaration de l</w:t>
      </w:r>
      <w:r w:rsidR="008D0C03">
        <w:rPr>
          <w:lang w:val="fr-FR"/>
        </w:rPr>
        <w:t>’</w:t>
      </w:r>
      <w:r w:rsidRPr="00803F06">
        <w:rPr>
          <w:lang w:val="fr-FR"/>
        </w:rPr>
        <w:t>état d</w:t>
      </w:r>
      <w:r w:rsidR="008D0C03">
        <w:rPr>
          <w:lang w:val="fr-FR"/>
        </w:rPr>
        <w:t>’</w:t>
      </w:r>
      <w:r w:rsidRPr="00803F06">
        <w:rPr>
          <w:lang w:val="fr-FR"/>
        </w:rPr>
        <w:t>urgence, prévue par l</w:t>
      </w:r>
      <w:r w:rsidR="008D0C03">
        <w:rPr>
          <w:lang w:val="fr-FR"/>
        </w:rPr>
        <w:t>’</w:t>
      </w:r>
      <w:r w:rsidRPr="00803F06">
        <w:rPr>
          <w:lang w:val="fr-FR"/>
        </w:rPr>
        <w:t>article 5 de de la loi n</w:t>
      </w:r>
      <w:r w:rsidRPr="00DC23CA">
        <w:rPr>
          <w:vertAlign w:val="superscript"/>
          <w:lang w:val="fr-FR"/>
        </w:rPr>
        <w:t>o</w:t>
      </w:r>
      <w:r w:rsidRPr="00803F06">
        <w:rPr>
          <w:lang w:val="fr-FR"/>
        </w:rPr>
        <w:t xml:space="preserve"> 225 de 1992.</w:t>
      </w:r>
    </w:p>
    <w:p w:rsidR="00DC23CA" w:rsidRPr="0072720E" w:rsidRDefault="00DC23CA" w:rsidP="00DD3422">
      <w:pPr>
        <w:pStyle w:val="ECHRPara"/>
        <w:rPr>
          <w:lang w:val="fr-FR"/>
        </w:rPr>
      </w:pPr>
      <w:r>
        <w:rPr>
          <w:lang w:val="fr-FR"/>
        </w:rPr>
        <w:t>31.  S</w:t>
      </w:r>
      <w:r w:rsidRPr="005D5D2B">
        <w:rPr>
          <w:lang w:val="fr-FR"/>
        </w:rPr>
        <w:t>ous l</w:t>
      </w:r>
      <w:r w:rsidR="008D0C03">
        <w:rPr>
          <w:lang w:val="fr-FR"/>
        </w:rPr>
        <w:t>’</w:t>
      </w:r>
      <w:r w:rsidRPr="005D5D2B">
        <w:rPr>
          <w:lang w:val="fr-FR"/>
        </w:rPr>
        <w:t>angle de l</w:t>
      </w:r>
      <w:r w:rsidR="008D0C03">
        <w:rPr>
          <w:lang w:val="fr-FR"/>
        </w:rPr>
        <w:t>’</w:t>
      </w:r>
      <w:r w:rsidRPr="005D5D2B">
        <w:rPr>
          <w:lang w:val="fr-FR"/>
        </w:rPr>
        <w:t xml:space="preserve">article 8 de la Convention, </w:t>
      </w:r>
      <w:r>
        <w:rPr>
          <w:lang w:val="fr-FR"/>
        </w:rPr>
        <w:t>ils</w:t>
      </w:r>
      <w:r w:rsidRPr="005D5D2B">
        <w:rPr>
          <w:lang w:val="fr-FR"/>
        </w:rPr>
        <w:t xml:space="preserve"> dénoncent l</w:t>
      </w:r>
      <w:r w:rsidR="008D0C03">
        <w:rPr>
          <w:lang w:val="fr-FR"/>
        </w:rPr>
        <w:t>’</w:t>
      </w:r>
      <w:r w:rsidRPr="005D5D2B">
        <w:rPr>
          <w:lang w:val="fr-FR"/>
        </w:rPr>
        <w:t>absence de toute information et de campagne de sensibilisation concernant le risque qu</w:t>
      </w:r>
      <w:r w:rsidR="008D0C03">
        <w:rPr>
          <w:lang w:val="fr-FR"/>
        </w:rPr>
        <w:t>’</w:t>
      </w:r>
      <w:r w:rsidRPr="005D5D2B">
        <w:rPr>
          <w:lang w:val="fr-FR"/>
        </w:rPr>
        <w:t>ils encourent et le comportement à tenir en cas d</w:t>
      </w:r>
      <w:r w:rsidR="008D0C03">
        <w:rPr>
          <w:lang w:val="fr-FR"/>
        </w:rPr>
        <w:t>’</w:t>
      </w:r>
      <w:r w:rsidRPr="005D5D2B">
        <w:rPr>
          <w:lang w:val="fr-FR"/>
        </w:rPr>
        <w:t>éruption ou d</w:t>
      </w:r>
      <w:r w:rsidR="008D0C03">
        <w:rPr>
          <w:lang w:val="fr-FR"/>
        </w:rPr>
        <w:t>’</w:t>
      </w:r>
      <w:r w:rsidRPr="005D5D2B">
        <w:rPr>
          <w:lang w:val="fr-FR"/>
        </w:rPr>
        <w:t xml:space="preserve">autres accidents. Ils estiment que leur droit </w:t>
      </w:r>
      <w:r>
        <w:rPr>
          <w:lang w:val="fr-FR"/>
        </w:rPr>
        <w:t xml:space="preserve">au respect de leur </w:t>
      </w:r>
      <w:r w:rsidRPr="005D5D2B">
        <w:rPr>
          <w:lang w:val="fr-FR"/>
        </w:rPr>
        <w:t>vie privée a été atteint.</w:t>
      </w:r>
    </w:p>
    <w:p w:rsidR="00DC23CA" w:rsidRPr="0072720E" w:rsidRDefault="00DC23CA" w:rsidP="00DD3422">
      <w:pPr>
        <w:pStyle w:val="ECHRTitle1"/>
        <w:rPr>
          <w:lang w:val="fr-FR"/>
        </w:rPr>
      </w:pPr>
      <w:r w:rsidRPr="0072720E">
        <w:rPr>
          <w:lang w:val="fr-FR"/>
        </w:rPr>
        <w:t>EN DROIT</w:t>
      </w:r>
    </w:p>
    <w:p w:rsidR="00DC23CA" w:rsidRDefault="00DC23CA" w:rsidP="00DD3422">
      <w:pPr>
        <w:pStyle w:val="ECHRPara"/>
        <w:rPr>
          <w:lang w:val="fr-FR"/>
        </w:rPr>
      </w:pPr>
      <w:r>
        <w:rPr>
          <w:lang w:val="fr-FR"/>
        </w:rPr>
        <w:t>32.  </w:t>
      </w:r>
      <w:r w:rsidRPr="005D5D2B">
        <w:rPr>
          <w:lang w:val="fr-FR"/>
        </w:rPr>
        <w:t>Invoquant l</w:t>
      </w:r>
      <w:r w:rsidR="008D0C03">
        <w:rPr>
          <w:lang w:val="fr-FR"/>
        </w:rPr>
        <w:t>’</w:t>
      </w:r>
      <w:r w:rsidRPr="005D5D2B">
        <w:rPr>
          <w:lang w:val="fr-FR"/>
        </w:rPr>
        <w:t>article 2 de la Convention, les requérants se plaignent du fait que le Gouvernement a</w:t>
      </w:r>
      <w:r>
        <w:rPr>
          <w:lang w:val="fr-FR"/>
        </w:rPr>
        <w:t>urait</w:t>
      </w:r>
      <w:r w:rsidRPr="005D5D2B">
        <w:rPr>
          <w:lang w:val="fr-FR"/>
        </w:rPr>
        <w:t xml:space="preserve"> omis de mettre en place un cadre règlementaire et administratif en vue de protéger leur vie en cas d</w:t>
      </w:r>
      <w:r w:rsidR="008D0C03">
        <w:rPr>
          <w:lang w:val="fr-FR"/>
        </w:rPr>
        <w:t>’</w:t>
      </w:r>
      <w:r w:rsidRPr="005D5D2B">
        <w:rPr>
          <w:lang w:val="fr-FR"/>
        </w:rPr>
        <w:t xml:space="preserve">éruption </w:t>
      </w:r>
      <w:r>
        <w:rPr>
          <w:lang w:val="fr-FR"/>
        </w:rPr>
        <w:t>du Vésuve</w:t>
      </w:r>
      <w:r w:rsidRPr="00803F06">
        <w:rPr>
          <w:lang w:val="fr-FR"/>
        </w:rPr>
        <w:t>.</w:t>
      </w:r>
      <w:r>
        <w:rPr>
          <w:lang w:val="fr-FR"/>
        </w:rPr>
        <w:t xml:space="preserve"> Cet article, dans ses parties pertinentes, stipule :</w:t>
      </w:r>
    </w:p>
    <w:p w:rsidR="00DC23CA" w:rsidRPr="000D2406" w:rsidRDefault="00DC23CA" w:rsidP="00DD3422">
      <w:pPr>
        <w:pStyle w:val="ECHRParaQuote"/>
        <w:rPr>
          <w:lang w:val="fr-FR"/>
        </w:rPr>
      </w:pPr>
      <w:r w:rsidRPr="000D2406">
        <w:rPr>
          <w:lang w:val="fr-FR"/>
        </w:rPr>
        <w:lastRenderedPageBreak/>
        <w:t>« 1.  Le droit de toute personne à la vie est protégé par la loi.</w:t>
      </w:r>
      <w:r>
        <w:rPr>
          <w:lang w:val="fr-FR"/>
        </w:rPr>
        <w:t xml:space="preserve"> (...)</w:t>
      </w:r>
      <w:r w:rsidRPr="000D2406">
        <w:rPr>
          <w:lang w:val="fr-FR"/>
        </w:rPr>
        <w:t> »</w:t>
      </w:r>
    </w:p>
    <w:p w:rsidR="00DC23CA" w:rsidRDefault="00DC23CA" w:rsidP="00DD3422">
      <w:pPr>
        <w:pStyle w:val="ECHRPara"/>
        <w:rPr>
          <w:lang w:val="fr-FR"/>
        </w:rPr>
      </w:pPr>
      <w:r>
        <w:rPr>
          <w:lang w:val="fr-FR"/>
        </w:rPr>
        <w:t>33.  S</w:t>
      </w:r>
      <w:r w:rsidRPr="005D5D2B">
        <w:rPr>
          <w:lang w:val="fr-FR"/>
        </w:rPr>
        <w:t>ous l</w:t>
      </w:r>
      <w:r w:rsidR="008D0C03">
        <w:rPr>
          <w:lang w:val="fr-FR"/>
        </w:rPr>
        <w:t>’</w:t>
      </w:r>
      <w:r w:rsidRPr="005D5D2B">
        <w:rPr>
          <w:lang w:val="fr-FR"/>
        </w:rPr>
        <w:t>angle de l</w:t>
      </w:r>
      <w:r w:rsidR="008D0C03">
        <w:rPr>
          <w:lang w:val="fr-FR"/>
        </w:rPr>
        <w:t>’</w:t>
      </w:r>
      <w:r w:rsidRPr="005D5D2B">
        <w:rPr>
          <w:lang w:val="fr-FR"/>
        </w:rPr>
        <w:t xml:space="preserve">article 8 de la Convention, </w:t>
      </w:r>
      <w:r>
        <w:rPr>
          <w:lang w:val="fr-FR"/>
        </w:rPr>
        <w:t>quant au droit au respect de leur vie privée, ils</w:t>
      </w:r>
      <w:r w:rsidRPr="005D5D2B">
        <w:rPr>
          <w:lang w:val="fr-FR"/>
        </w:rPr>
        <w:t xml:space="preserve"> dénoncent l</w:t>
      </w:r>
      <w:r w:rsidR="008D0C03">
        <w:rPr>
          <w:lang w:val="fr-FR"/>
        </w:rPr>
        <w:t>’</w:t>
      </w:r>
      <w:r w:rsidRPr="005D5D2B">
        <w:rPr>
          <w:lang w:val="fr-FR"/>
        </w:rPr>
        <w:t>absence de toute information concernant le risque qu</w:t>
      </w:r>
      <w:r w:rsidR="008D0C03">
        <w:rPr>
          <w:lang w:val="fr-FR"/>
        </w:rPr>
        <w:t>’</w:t>
      </w:r>
      <w:r w:rsidRPr="005D5D2B">
        <w:rPr>
          <w:lang w:val="fr-FR"/>
        </w:rPr>
        <w:t>ils encourent et le comportement à tenir en cas d</w:t>
      </w:r>
      <w:r w:rsidR="008D0C03">
        <w:rPr>
          <w:lang w:val="fr-FR"/>
        </w:rPr>
        <w:t>’</w:t>
      </w:r>
      <w:r w:rsidRPr="005D5D2B">
        <w:rPr>
          <w:lang w:val="fr-FR"/>
        </w:rPr>
        <w:t>éruption ou d</w:t>
      </w:r>
      <w:r w:rsidR="008D0C03">
        <w:rPr>
          <w:lang w:val="fr-FR"/>
        </w:rPr>
        <w:t>’</w:t>
      </w:r>
      <w:r w:rsidRPr="005D5D2B">
        <w:rPr>
          <w:lang w:val="fr-FR"/>
        </w:rPr>
        <w:t xml:space="preserve">autres accidents. </w:t>
      </w:r>
      <w:r>
        <w:rPr>
          <w:lang w:val="fr-FR"/>
        </w:rPr>
        <w:t>L</w:t>
      </w:r>
      <w:r w:rsidR="008D0C03">
        <w:rPr>
          <w:lang w:val="fr-FR"/>
        </w:rPr>
        <w:t>’</w:t>
      </w:r>
      <w:r>
        <w:rPr>
          <w:lang w:val="fr-FR"/>
        </w:rPr>
        <w:t>article 8 est ainsi libellé :</w:t>
      </w:r>
    </w:p>
    <w:p w:rsidR="00DC23CA" w:rsidRPr="00923E72" w:rsidRDefault="00DC23CA" w:rsidP="00DD3422">
      <w:pPr>
        <w:pStyle w:val="ECHRParaQuote"/>
        <w:rPr>
          <w:lang w:val="fr-FR"/>
        </w:rPr>
      </w:pPr>
      <w:r w:rsidRPr="00923E72">
        <w:rPr>
          <w:lang w:val="fr-FR"/>
        </w:rPr>
        <w:t xml:space="preserve">« 1.  Toute personne a droit au respect de sa vie privée </w:t>
      </w:r>
      <w:r>
        <w:rPr>
          <w:lang w:val="fr-FR"/>
        </w:rPr>
        <w:t>(...)</w:t>
      </w:r>
      <w:r w:rsidRPr="00923E72">
        <w:rPr>
          <w:lang w:val="fr-FR"/>
        </w:rPr>
        <w:t>.</w:t>
      </w:r>
    </w:p>
    <w:p w:rsidR="00DC23CA" w:rsidRDefault="00DC23CA" w:rsidP="00DD3422">
      <w:pPr>
        <w:pStyle w:val="ECHRParaQuote"/>
        <w:rPr>
          <w:lang w:val="fr-FR"/>
        </w:rPr>
      </w:pPr>
      <w:r w:rsidRPr="00923E72">
        <w:rPr>
          <w:lang w:val="fr-FR"/>
        </w:rPr>
        <w:t>2.  Il ne peut y avoir ingérence d</w:t>
      </w:r>
      <w:r w:rsidR="008D0C03">
        <w:rPr>
          <w:lang w:val="fr-FR"/>
        </w:rPr>
        <w:t>’</w:t>
      </w:r>
      <w:r w:rsidRPr="00923E72">
        <w:rPr>
          <w:lang w:val="fr-FR"/>
        </w:rPr>
        <w:t>une autorité publique dans l</w:t>
      </w:r>
      <w:r w:rsidR="008D0C03">
        <w:rPr>
          <w:lang w:val="fr-FR"/>
        </w:rPr>
        <w:t>’</w:t>
      </w:r>
      <w:r w:rsidRPr="00923E72">
        <w:rPr>
          <w:lang w:val="fr-FR"/>
        </w:rPr>
        <w:t>exercice de ce droit que pour autant que cette ingérence est prévue par la loi et qu</w:t>
      </w:r>
      <w:r w:rsidR="008D0C03">
        <w:rPr>
          <w:lang w:val="fr-FR"/>
        </w:rPr>
        <w:t>’</w:t>
      </w:r>
      <w:r w:rsidRPr="00923E72">
        <w:rPr>
          <w:lang w:val="fr-FR"/>
        </w:rPr>
        <w:t>elle constitue une mesure qui, dans une société démocratique, est nécessaire à la sécurité nationale, à la sûreté publique, au bien</w:t>
      </w:r>
      <w:r w:rsidRPr="00923E72">
        <w:rPr>
          <w:lang w:val="fr-FR"/>
        </w:rPr>
        <w:noBreakHyphen/>
        <w:t>être économique du pays, à la défense de l</w:t>
      </w:r>
      <w:r w:rsidR="008D0C03">
        <w:rPr>
          <w:lang w:val="fr-FR"/>
        </w:rPr>
        <w:t>’</w:t>
      </w:r>
      <w:r w:rsidRPr="00923E72">
        <w:rPr>
          <w:lang w:val="fr-FR"/>
        </w:rPr>
        <w:t>ordre et à la prévention des infractions pénales, à la protection de la santé ou de la morale, ou à la protection des droits et libertés d</w:t>
      </w:r>
      <w:r w:rsidR="008D0C03">
        <w:rPr>
          <w:lang w:val="fr-FR"/>
        </w:rPr>
        <w:t>’</w:t>
      </w:r>
      <w:r w:rsidRPr="00923E72">
        <w:rPr>
          <w:lang w:val="fr-FR"/>
        </w:rPr>
        <w:t>autrui. »</w:t>
      </w:r>
    </w:p>
    <w:p w:rsidR="00DC23CA" w:rsidRDefault="00DC23CA" w:rsidP="00DD3422">
      <w:pPr>
        <w:pStyle w:val="ECHRHeading2"/>
        <w:rPr>
          <w:lang w:val="fr-FR"/>
        </w:rPr>
      </w:pPr>
      <w:r>
        <w:rPr>
          <w:lang w:val="fr-FR"/>
        </w:rPr>
        <w:t>A.  L</w:t>
      </w:r>
      <w:r w:rsidR="008D0C03">
        <w:rPr>
          <w:lang w:val="fr-FR"/>
        </w:rPr>
        <w:t>’</w:t>
      </w:r>
      <w:r>
        <w:rPr>
          <w:lang w:val="fr-FR"/>
        </w:rPr>
        <w:t>argumentation des parties</w:t>
      </w:r>
    </w:p>
    <w:p w:rsidR="00DC23CA" w:rsidRDefault="00DC23CA" w:rsidP="00DD3422">
      <w:pPr>
        <w:pStyle w:val="ECHRHeading3"/>
        <w:rPr>
          <w:lang w:val="fr-FR"/>
        </w:rPr>
      </w:pPr>
      <w:r>
        <w:rPr>
          <w:lang w:val="fr-FR"/>
        </w:rPr>
        <w:t>1.  Le Gouvernement</w:t>
      </w:r>
    </w:p>
    <w:p w:rsidR="00DC23CA" w:rsidRDefault="00DC23CA" w:rsidP="00DD3422">
      <w:pPr>
        <w:pStyle w:val="ECHRPara"/>
        <w:rPr>
          <w:lang w:val="fr-FR"/>
        </w:rPr>
      </w:pPr>
      <w:r>
        <w:rPr>
          <w:lang w:val="fr-FR"/>
        </w:rPr>
        <w:t>34.  </w:t>
      </w:r>
      <w:r w:rsidRPr="009C295A">
        <w:rPr>
          <w:lang w:val="fr-FR"/>
        </w:rPr>
        <w:t>Le Gouvernement excipe d</w:t>
      </w:r>
      <w:r w:rsidR="008D0C03">
        <w:rPr>
          <w:lang w:val="fr-FR"/>
        </w:rPr>
        <w:t>’</w:t>
      </w:r>
      <w:r>
        <w:rPr>
          <w:lang w:val="fr-FR"/>
        </w:rPr>
        <w:t>e</w:t>
      </w:r>
      <w:r w:rsidRPr="009C295A">
        <w:rPr>
          <w:lang w:val="fr-FR"/>
        </w:rPr>
        <w:t xml:space="preserve">mblée que les requérants ont </w:t>
      </w:r>
      <w:r>
        <w:rPr>
          <w:lang w:val="fr-FR"/>
        </w:rPr>
        <w:t xml:space="preserve">omis de soulever </w:t>
      </w:r>
      <w:r w:rsidRPr="009C295A">
        <w:rPr>
          <w:lang w:val="fr-FR"/>
        </w:rPr>
        <w:t>leurs griefs devant les autorités nationales.</w:t>
      </w:r>
    </w:p>
    <w:p w:rsidR="00DC23CA" w:rsidRDefault="00DC23CA" w:rsidP="00DD3422">
      <w:pPr>
        <w:pStyle w:val="ECHRPara"/>
        <w:rPr>
          <w:lang w:val="fr-FR"/>
        </w:rPr>
      </w:pPr>
      <w:r>
        <w:rPr>
          <w:lang w:val="fr-FR"/>
        </w:rPr>
        <w:t>35.  Dans ce contexte, il clarifie que la déclaration de l</w:t>
      </w:r>
      <w:r w:rsidR="008D0C03">
        <w:rPr>
          <w:lang w:val="fr-FR"/>
        </w:rPr>
        <w:t>’</w:t>
      </w:r>
      <w:r>
        <w:rPr>
          <w:lang w:val="fr-FR"/>
        </w:rPr>
        <w:t>état d</w:t>
      </w:r>
      <w:r w:rsidR="008D0C03">
        <w:rPr>
          <w:lang w:val="fr-FR"/>
        </w:rPr>
        <w:t>’</w:t>
      </w:r>
      <w:r>
        <w:rPr>
          <w:lang w:val="fr-FR"/>
        </w:rPr>
        <w:t>urgence à laquelle les requérants se réfèrent ne concerne que des situations dans lesquelles un événement calamiteux a eu lieu (article 5 de la loi n</w:t>
      </w:r>
      <w:r w:rsidRPr="00DC23CA">
        <w:rPr>
          <w:vertAlign w:val="superscript"/>
          <w:lang w:val="fr-FR"/>
        </w:rPr>
        <w:t>o</w:t>
      </w:r>
      <w:r>
        <w:rPr>
          <w:lang w:val="fr-FR"/>
        </w:rPr>
        <w:t xml:space="preserve"> 225 de la loi 1992). Cette déclaration n</w:t>
      </w:r>
      <w:r w:rsidR="008D0C03">
        <w:rPr>
          <w:lang w:val="fr-FR"/>
        </w:rPr>
        <w:t>’</w:t>
      </w:r>
      <w:r>
        <w:rPr>
          <w:lang w:val="fr-FR"/>
        </w:rPr>
        <w:t>est donc pas une mesure susceptible d</w:t>
      </w:r>
      <w:r w:rsidR="008D0C03">
        <w:rPr>
          <w:lang w:val="fr-FR"/>
        </w:rPr>
        <w:t>’</w:t>
      </w:r>
      <w:r>
        <w:rPr>
          <w:lang w:val="fr-FR"/>
        </w:rPr>
        <w:t>être exigée des autorités nationales dans les circonstances actuelles. Par contre, au sens de l</w:t>
      </w:r>
      <w:r w:rsidR="008D0C03">
        <w:rPr>
          <w:lang w:val="fr-FR"/>
        </w:rPr>
        <w:t>’</w:t>
      </w:r>
      <w:r>
        <w:rPr>
          <w:lang w:val="fr-FR"/>
        </w:rPr>
        <w:t>article 3 de la même loi, l</w:t>
      </w:r>
      <w:r w:rsidR="008D0C03">
        <w:rPr>
          <w:lang w:val="fr-FR"/>
        </w:rPr>
        <w:t>’</w:t>
      </w:r>
      <w:r>
        <w:rPr>
          <w:lang w:val="fr-FR"/>
        </w:rPr>
        <w:t>État peut adopter des mesures en matière de prévention des risques.</w:t>
      </w:r>
    </w:p>
    <w:p w:rsidR="00DC23CA" w:rsidRDefault="00DC23CA" w:rsidP="00DD3422">
      <w:pPr>
        <w:pStyle w:val="ECHRPara"/>
        <w:rPr>
          <w:lang w:val="fr-FR"/>
        </w:rPr>
      </w:pPr>
      <w:r>
        <w:rPr>
          <w:lang w:val="fr-FR"/>
        </w:rPr>
        <w:t xml:space="preserve">36.  Or, tout en se référant sur le fond aux mesures qui ont déjà été prises en </w:t>
      </w:r>
      <w:r w:rsidRPr="00CB2D79">
        <w:rPr>
          <w:lang w:val="fr-FR"/>
        </w:rPr>
        <w:t>l</w:t>
      </w:r>
      <w:r w:rsidR="008D0C03">
        <w:rPr>
          <w:lang w:val="fr-FR"/>
        </w:rPr>
        <w:t>’</w:t>
      </w:r>
      <w:r w:rsidRPr="00CB2D79">
        <w:rPr>
          <w:lang w:val="fr-FR"/>
        </w:rPr>
        <w:t>espèce (paragraphes 12-29 ci-dessus), le</w:t>
      </w:r>
      <w:r>
        <w:rPr>
          <w:lang w:val="fr-FR"/>
        </w:rPr>
        <w:t xml:space="preserve"> Gouvernement constate que les requérants peuvent soumettre une demande devant les autorités internes tendant à obtenir les mesures de prévention qu</w:t>
      </w:r>
      <w:r w:rsidR="008D0C03">
        <w:rPr>
          <w:lang w:val="fr-FR"/>
        </w:rPr>
        <w:t>’</w:t>
      </w:r>
      <w:r>
        <w:rPr>
          <w:lang w:val="fr-FR"/>
        </w:rPr>
        <w:t>ils estiment nécessaires et, en cas de silence de la part des autorités, introduire un recours devant les juridictions administratives (à savoir, les tribunal administratif régional et le Conseil d</w:t>
      </w:r>
      <w:r w:rsidR="008D0C03">
        <w:rPr>
          <w:lang w:val="fr-FR"/>
        </w:rPr>
        <w:t>’</w:t>
      </w:r>
      <w:r>
        <w:rPr>
          <w:lang w:val="fr-FR"/>
        </w:rPr>
        <w:t>État) demandant la condamnation des autorités sollicitées, l</w:t>
      </w:r>
      <w:r w:rsidR="008D0C03">
        <w:rPr>
          <w:lang w:val="fr-FR"/>
        </w:rPr>
        <w:t>’</w:t>
      </w:r>
      <w:r>
        <w:rPr>
          <w:lang w:val="fr-FR"/>
        </w:rPr>
        <w:t>ordre d</w:t>
      </w:r>
      <w:r w:rsidR="008D0C03">
        <w:rPr>
          <w:lang w:val="fr-FR"/>
        </w:rPr>
        <w:t>’</w:t>
      </w:r>
      <w:r>
        <w:rPr>
          <w:lang w:val="fr-FR"/>
        </w:rPr>
        <w:t>exécution de leur demande et, le cas échéant, la réparation du préjudice subi.</w:t>
      </w:r>
    </w:p>
    <w:p w:rsidR="00DC23CA" w:rsidRDefault="00DC23CA" w:rsidP="00DD3422">
      <w:pPr>
        <w:pStyle w:val="ECHRPara"/>
        <w:rPr>
          <w:lang w:val="fr-FR"/>
        </w:rPr>
      </w:pPr>
      <w:r>
        <w:rPr>
          <w:lang w:val="fr-FR"/>
        </w:rPr>
        <w:t>37. </w:t>
      </w:r>
      <w:r w:rsidR="00534AC3">
        <w:rPr>
          <w:lang w:val="fr-FR"/>
        </w:rPr>
        <w:t> </w:t>
      </w:r>
      <w:r>
        <w:rPr>
          <w:lang w:val="fr-FR"/>
        </w:rPr>
        <w:t>En outre, il est loisible aux requérants d</w:t>
      </w:r>
      <w:r w:rsidR="008D0C03">
        <w:rPr>
          <w:lang w:val="fr-FR"/>
        </w:rPr>
        <w:t>’</w:t>
      </w:r>
      <w:r>
        <w:rPr>
          <w:lang w:val="fr-FR"/>
        </w:rPr>
        <w:t>introduire une « </w:t>
      </w:r>
      <w:r w:rsidRPr="000D10F5">
        <w:rPr>
          <w:i/>
          <w:lang w:val="fr-FR"/>
        </w:rPr>
        <w:t>class action</w:t>
      </w:r>
      <w:r>
        <w:rPr>
          <w:lang w:val="fr-FR"/>
        </w:rPr>
        <w:t> » devant les instances administratives, aux termes de l</w:t>
      </w:r>
      <w:r w:rsidR="008D0C03">
        <w:rPr>
          <w:lang w:val="fr-FR"/>
        </w:rPr>
        <w:t>’</w:t>
      </w:r>
      <w:r>
        <w:rPr>
          <w:lang w:val="fr-FR"/>
        </w:rPr>
        <w:t>article 4 § 2, lettre l, de la loi n</w:t>
      </w:r>
      <w:r w:rsidRPr="00DC23CA">
        <w:rPr>
          <w:vertAlign w:val="superscript"/>
          <w:lang w:val="fr-FR"/>
        </w:rPr>
        <w:t>o</w:t>
      </w:r>
      <w:r>
        <w:rPr>
          <w:lang w:val="fr-FR"/>
        </w:rPr>
        <w:t xml:space="preserve"> 15 du 4 mars 2009 et du décret législatif n</w:t>
      </w:r>
      <w:r w:rsidRPr="00DC23CA">
        <w:rPr>
          <w:vertAlign w:val="superscript"/>
          <w:lang w:val="fr-FR"/>
        </w:rPr>
        <w:t>o</w:t>
      </w:r>
      <w:r>
        <w:rPr>
          <w:lang w:val="fr-FR"/>
        </w:rPr>
        <w:t xml:space="preserve"> 198 du 20 décembre 2009.</w:t>
      </w:r>
    </w:p>
    <w:p w:rsidR="00DC23CA" w:rsidRDefault="00DC23CA" w:rsidP="00DD3422">
      <w:pPr>
        <w:pStyle w:val="ECHRPara"/>
        <w:rPr>
          <w:lang w:val="fr-FR"/>
        </w:rPr>
      </w:pPr>
      <w:r>
        <w:rPr>
          <w:lang w:val="fr-FR"/>
        </w:rPr>
        <w:t>38.  </w:t>
      </w:r>
      <w:r>
        <w:rPr>
          <w:szCs w:val="24"/>
          <w:lang w:val="fr-FR"/>
        </w:rPr>
        <w:t xml:space="preserve">La requête </w:t>
      </w:r>
      <w:r w:rsidRPr="009C295A">
        <w:rPr>
          <w:szCs w:val="24"/>
          <w:lang w:val="fr-FR"/>
        </w:rPr>
        <w:t xml:space="preserve">devrait </w:t>
      </w:r>
      <w:r>
        <w:rPr>
          <w:szCs w:val="24"/>
          <w:lang w:val="fr-FR"/>
        </w:rPr>
        <w:t xml:space="preserve">donc </w:t>
      </w:r>
      <w:r w:rsidRPr="009C295A">
        <w:rPr>
          <w:szCs w:val="24"/>
          <w:lang w:val="fr-FR"/>
        </w:rPr>
        <w:t>être déclarée</w:t>
      </w:r>
      <w:r>
        <w:rPr>
          <w:lang w:val="fr-FR"/>
        </w:rPr>
        <w:t xml:space="preserve"> irrecevable pour non-épuisement des voies de recours internes, au sens de l</w:t>
      </w:r>
      <w:r w:rsidR="008D0C03">
        <w:rPr>
          <w:lang w:val="fr-FR"/>
        </w:rPr>
        <w:t>’</w:t>
      </w:r>
      <w:r>
        <w:rPr>
          <w:lang w:val="fr-FR"/>
        </w:rPr>
        <w:t xml:space="preserve">article 35 § 1 de la Convention, </w:t>
      </w:r>
      <w:r>
        <w:rPr>
          <w:szCs w:val="24"/>
          <w:lang w:val="fr-FR"/>
        </w:rPr>
        <w:t xml:space="preserve">le </w:t>
      </w:r>
      <w:r w:rsidRPr="009C295A">
        <w:rPr>
          <w:szCs w:val="24"/>
          <w:lang w:val="fr-FR"/>
        </w:rPr>
        <w:t xml:space="preserve">principe de subsidiarité </w:t>
      </w:r>
      <w:r>
        <w:rPr>
          <w:szCs w:val="24"/>
          <w:lang w:val="fr-FR"/>
        </w:rPr>
        <w:t xml:space="preserve">ayant </w:t>
      </w:r>
      <w:r w:rsidRPr="009C295A">
        <w:rPr>
          <w:szCs w:val="24"/>
          <w:lang w:val="fr-FR"/>
        </w:rPr>
        <w:t>été méconnu</w:t>
      </w:r>
      <w:r>
        <w:rPr>
          <w:szCs w:val="24"/>
          <w:lang w:val="fr-FR"/>
        </w:rPr>
        <w:t xml:space="preserve"> en l</w:t>
      </w:r>
      <w:r w:rsidR="008D0C03">
        <w:rPr>
          <w:szCs w:val="24"/>
          <w:lang w:val="fr-FR"/>
        </w:rPr>
        <w:t>’</w:t>
      </w:r>
      <w:r>
        <w:rPr>
          <w:szCs w:val="24"/>
          <w:lang w:val="fr-FR"/>
        </w:rPr>
        <w:t>espèce</w:t>
      </w:r>
      <w:r>
        <w:rPr>
          <w:lang w:val="fr-FR"/>
        </w:rPr>
        <w:t>.</w:t>
      </w:r>
    </w:p>
    <w:p w:rsidR="00DC23CA" w:rsidRDefault="00DC23CA" w:rsidP="00DD3422">
      <w:pPr>
        <w:pStyle w:val="ECHRPara"/>
        <w:rPr>
          <w:lang w:val="fr-FR"/>
        </w:rPr>
      </w:pPr>
      <w:r>
        <w:rPr>
          <w:lang w:val="fr-FR"/>
        </w:rPr>
        <w:lastRenderedPageBreak/>
        <w:t>39.  </w:t>
      </w:r>
      <w:r w:rsidRPr="009C295A">
        <w:rPr>
          <w:lang w:val="fr-FR"/>
        </w:rPr>
        <w:t>Le Gouvern</w:t>
      </w:r>
      <w:r>
        <w:rPr>
          <w:lang w:val="fr-FR"/>
        </w:rPr>
        <w:t xml:space="preserve">ement fait valoir en outre que la Cour devrait déclarer la requête irrecevable </w:t>
      </w:r>
      <w:r w:rsidRPr="009C295A">
        <w:rPr>
          <w:lang w:val="fr-FR"/>
        </w:rPr>
        <w:t>au sens de l</w:t>
      </w:r>
      <w:r w:rsidR="008D0C03">
        <w:rPr>
          <w:lang w:val="fr-FR"/>
        </w:rPr>
        <w:t>’</w:t>
      </w:r>
      <w:r w:rsidRPr="009C295A">
        <w:rPr>
          <w:lang w:val="fr-FR"/>
        </w:rPr>
        <w:t>article 35 §</w:t>
      </w:r>
      <w:r>
        <w:rPr>
          <w:lang w:val="fr-FR"/>
        </w:rPr>
        <w:t> </w:t>
      </w:r>
      <w:r w:rsidRPr="009C295A">
        <w:rPr>
          <w:lang w:val="fr-FR"/>
        </w:rPr>
        <w:t>3</w:t>
      </w:r>
      <w:r>
        <w:rPr>
          <w:lang w:val="fr-FR"/>
        </w:rPr>
        <w:t> </w:t>
      </w:r>
      <w:r w:rsidRPr="009C295A">
        <w:rPr>
          <w:lang w:val="fr-FR"/>
        </w:rPr>
        <w:t>b)</w:t>
      </w:r>
      <w:r>
        <w:rPr>
          <w:lang w:val="fr-FR"/>
        </w:rPr>
        <w:t xml:space="preserve"> de la Convention,</w:t>
      </w:r>
      <w:r w:rsidRPr="009C295A">
        <w:rPr>
          <w:lang w:val="fr-FR"/>
        </w:rPr>
        <w:t xml:space="preserve"> le</w:t>
      </w:r>
      <w:r>
        <w:rPr>
          <w:lang w:val="fr-FR"/>
        </w:rPr>
        <w:t>s</w:t>
      </w:r>
      <w:r w:rsidRPr="009C295A">
        <w:rPr>
          <w:lang w:val="fr-FR"/>
        </w:rPr>
        <w:t xml:space="preserve"> requérant</w:t>
      </w:r>
      <w:r>
        <w:rPr>
          <w:lang w:val="fr-FR"/>
        </w:rPr>
        <w:t>s n</w:t>
      </w:r>
      <w:r w:rsidR="008D0C03">
        <w:rPr>
          <w:lang w:val="fr-FR"/>
        </w:rPr>
        <w:t>’</w:t>
      </w:r>
      <w:r>
        <w:rPr>
          <w:lang w:val="fr-FR"/>
        </w:rPr>
        <w:t>ayant</w:t>
      </w:r>
      <w:r w:rsidRPr="009C295A">
        <w:rPr>
          <w:lang w:val="fr-FR"/>
        </w:rPr>
        <w:t xml:space="preserve"> subi aucun préjudice important.</w:t>
      </w:r>
    </w:p>
    <w:p w:rsidR="00DC23CA" w:rsidRDefault="00DC23CA" w:rsidP="00DD3422">
      <w:pPr>
        <w:pStyle w:val="ECHRPara"/>
        <w:rPr>
          <w:lang w:val="fr-FR"/>
        </w:rPr>
      </w:pPr>
      <w:r>
        <w:rPr>
          <w:lang w:val="fr-FR"/>
        </w:rPr>
        <w:t>40.  Il excipe ensuite que ceux-ci, n</w:t>
      </w:r>
      <w:r w:rsidR="008D0C03">
        <w:rPr>
          <w:lang w:val="fr-FR"/>
        </w:rPr>
        <w:t>’</w:t>
      </w:r>
      <w:r>
        <w:rPr>
          <w:lang w:val="fr-FR"/>
        </w:rPr>
        <w:t>ayant fait l</w:t>
      </w:r>
      <w:r w:rsidR="008D0C03">
        <w:rPr>
          <w:lang w:val="fr-FR"/>
        </w:rPr>
        <w:t>’</w:t>
      </w:r>
      <w:r>
        <w:rPr>
          <w:lang w:val="fr-FR"/>
        </w:rPr>
        <w:t>objet d</w:t>
      </w:r>
      <w:r w:rsidR="008D0C03">
        <w:rPr>
          <w:lang w:val="fr-FR"/>
        </w:rPr>
        <w:t>’</w:t>
      </w:r>
      <w:r>
        <w:rPr>
          <w:lang w:val="fr-FR"/>
        </w:rPr>
        <w:t>aucun accident et n</w:t>
      </w:r>
      <w:r w:rsidR="008D0C03">
        <w:rPr>
          <w:lang w:val="fr-FR"/>
        </w:rPr>
        <w:t>’</w:t>
      </w:r>
      <w:r>
        <w:rPr>
          <w:lang w:val="fr-FR"/>
        </w:rPr>
        <w:t>ayant subi aucune atteinte concrète à leur droit à la vie et au respect de leur vie privée, n</w:t>
      </w:r>
      <w:r w:rsidR="008D0C03">
        <w:rPr>
          <w:lang w:val="fr-FR"/>
        </w:rPr>
        <w:t>’</w:t>
      </w:r>
      <w:r>
        <w:rPr>
          <w:lang w:val="fr-FR"/>
        </w:rPr>
        <w:t>ont pas la qualité de victimes. De surcroît, les requérants ont fait le choix conscient d</w:t>
      </w:r>
      <w:r w:rsidR="008D0C03">
        <w:rPr>
          <w:lang w:val="fr-FR"/>
        </w:rPr>
        <w:t>’</w:t>
      </w:r>
      <w:r>
        <w:rPr>
          <w:lang w:val="fr-FR"/>
        </w:rPr>
        <w:t xml:space="preserve">habiter dans leur lieux de résidence, malgré les alternatives qui leurs ont été offertes par les autorités </w:t>
      </w:r>
      <w:r w:rsidRPr="00CB2D79">
        <w:rPr>
          <w:lang w:val="fr-FR"/>
        </w:rPr>
        <w:t>nationales (voir les paragraphes 28-29 ci-dessus).</w:t>
      </w:r>
    </w:p>
    <w:p w:rsidR="00DC23CA" w:rsidRDefault="00DC23CA" w:rsidP="00DD3422">
      <w:pPr>
        <w:pStyle w:val="ECHRPara"/>
        <w:rPr>
          <w:lang w:val="fr-FR"/>
        </w:rPr>
      </w:pPr>
      <w:r>
        <w:rPr>
          <w:lang w:val="fr-FR"/>
        </w:rPr>
        <w:t>41.  Cette requête serait en autre abusive. Le premier requérant, actif politiquement au niveau local, a accordé des interviews à la presse ayant pour objet l</w:t>
      </w:r>
      <w:r w:rsidR="008D0C03">
        <w:rPr>
          <w:lang w:val="fr-FR"/>
        </w:rPr>
        <w:t>’</w:t>
      </w:r>
      <w:r>
        <w:rPr>
          <w:lang w:val="fr-FR"/>
        </w:rPr>
        <w:t>introduction de la présente requête. Cette dernière n</w:t>
      </w:r>
      <w:r w:rsidR="008D0C03">
        <w:rPr>
          <w:lang w:val="fr-FR"/>
        </w:rPr>
        <w:t>’</w:t>
      </w:r>
      <w:r>
        <w:rPr>
          <w:lang w:val="fr-FR"/>
        </w:rPr>
        <w:t>aurait donc qu</w:t>
      </w:r>
      <w:r w:rsidR="008D0C03">
        <w:rPr>
          <w:lang w:val="fr-FR"/>
        </w:rPr>
        <w:t>’</w:t>
      </w:r>
      <w:r>
        <w:rPr>
          <w:lang w:val="fr-FR"/>
        </w:rPr>
        <w:t>un caractère politique.</w:t>
      </w:r>
    </w:p>
    <w:p w:rsidR="00DC23CA" w:rsidRDefault="00DC23CA" w:rsidP="00DD3422">
      <w:pPr>
        <w:pStyle w:val="ECHRPara"/>
        <w:rPr>
          <w:lang w:val="fr-FR"/>
        </w:rPr>
      </w:pPr>
      <w:r>
        <w:rPr>
          <w:lang w:val="fr-FR"/>
        </w:rPr>
        <w:t>42.  La Gouvernement fait valoir enfin que l</w:t>
      </w:r>
      <w:r w:rsidR="008D0C03">
        <w:rPr>
          <w:lang w:val="fr-FR"/>
        </w:rPr>
        <w:t>’</w:t>
      </w:r>
      <w:r>
        <w:rPr>
          <w:lang w:val="fr-FR"/>
        </w:rPr>
        <w:t>utilisation des recours disponibles en droit interne est prévue par l</w:t>
      </w:r>
      <w:r w:rsidR="008D0C03">
        <w:rPr>
          <w:lang w:val="fr-FR"/>
        </w:rPr>
        <w:t>’</w:t>
      </w:r>
      <w:r>
        <w:rPr>
          <w:lang w:val="fr-FR"/>
        </w:rPr>
        <w:t>article 47 du règlement de la Cour, selon lequel les requérants doivent produire une copie des décisions concernant l</w:t>
      </w:r>
      <w:r w:rsidR="008D0C03">
        <w:rPr>
          <w:lang w:val="fr-FR"/>
        </w:rPr>
        <w:t>’</w:t>
      </w:r>
      <w:r>
        <w:rPr>
          <w:lang w:val="fr-FR"/>
        </w:rPr>
        <w:t>objet de leur requête afin de permettre à la Cour d</w:t>
      </w:r>
      <w:r w:rsidR="008D0C03">
        <w:rPr>
          <w:lang w:val="fr-FR"/>
        </w:rPr>
        <w:t>’</w:t>
      </w:r>
      <w:r>
        <w:rPr>
          <w:lang w:val="fr-FR"/>
        </w:rPr>
        <w:t>évaluer la recevabilité de celle-ci. En l</w:t>
      </w:r>
      <w:r w:rsidR="008D0C03">
        <w:rPr>
          <w:lang w:val="fr-FR"/>
        </w:rPr>
        <w:t>’</w:t>
      </w:r>
      <w:r>
        <w:rPr>
          <w:lang w:val="fr-FR"/>
        </w:rPr>
        <w:t>absence desdites informations, la requête ne devrait pas être examinée par la Cour.</w:t>
      </w:r>
    </w:p>
    <w:p w:rsidR="00DC23CA" w:rsidRDefault="00DC23CA" w:rsidP="00DD3422">
      <w:pPr>
        <w:pStyle w:val="ECHRPara"/>
        <w:rPr>
          <w:lang w:val="fr-FR"/>
        </w:rPr>
      </w:pPr>
      <w:r>
        <w:rPr>
          <w:lang w:val="fr-FR"/>
        </w:rPr>
        <w:t>43.  Quant au fond de la requête, le Gouvernement se réfère à l</w:t>
      </w:r>
      <w:r w:rsidR="008D0C03">
        <w:rPr>
          <w:lang w:val="fr-FR"/>
        </w:rPr>
        <w:t>’</w:t>
      </w:r>
      <w:r>
        <w:rPr>
          <w:lang w:val="fr-FR"/>
        </w:rPr>
        <w:t xml:space="preserve">ensemble des informations </w:t>
      </w:r>
      <w:r w:rsidRPr="00CB2D79">
        <w:rPr>
          <w:lang w:val="fr-FR"/>
        </w:rPr>
        <w:t>reportées aux paragraphes 12-29 ci-dessus et conclut</w:t>
      </w:r>
      <w:r>
        <w:rPr>
          <w:lang w:val="fr-FR"/>
        </w:rPr>
        <w:t xml:space="preserve"> à l</w:t>
      </w:r>
      <w:r w:rsidR="008D0C03">
        <w:rPr>
          <w:lang w:val="fr-FR"/>
        </w:rPr>
        <w:t>’</w:t>
      </w:r>
      <w:r>
        <w:rPr>
          <w:lang w:val="fr-FR"/>
        </w:rPr>
        <w:t>irrecevabilité de celle-ci pour défaut manifeste de fondement.</w:t>
      </w:r>
    </w:p>
    <w:p w:rsidR="00DC23CA" w:rsidRDefault="00DC23CA" w:rsidP="00DD3422">
      <w:pPr>
        <w:pStyle w:val="ECHRHeading3"/>
        <w:rPr>
          <w:lang w:val="fr-FR"/>
        </w:rPr>
      </w:pPr>
      <w:r>
        <w:rPr>
          <w:lang w:val="fr-FR"/>
        </w:rPr>
        <w:t>2.  Les requérants</w:t>
      </w:r>
    </w:p>
    <w:p w:rsidR="00DC23CA" w:rsidRDefault="00DC23CA" w:rsidP="00DD3422">
      <w:pPr>
        <w:pStyle w:val="ECHRPara"/>
        <w:rPr>
          <w:lang w:val="fr-FR"/>
        </w:rPr>
      </w:pPr>
      <w:r>
        <w:rPr>
          <w:lang w:val="fr-FR"/>
        </w:rPr>
        <w:t>44.  Les requérants relèvent d</w:t>
      </w:r>
      <w:r w:rsidR="008D0C03">
        <w:rPr>
          <w:lang w:val="fr-FR"/>
        </w:rPr>
        <w:t>’</w:t>
      </w:r>
      <w:r>
        <w:rPr>
          <w:lang w:val="fr-FR"/>
        </w:rPr>
        <w:t>abord qu</w:t>
      </w:r>
      <w:r w:rsidR="008D0C03">
        <w:rPr>
          <w:lang w:val="fr-FR"/>
        </w:rPr>
        <w:t>’</w:t>
      </w:r>
      <w:r>
        <w:rPr>
          <w:lang w:val="fr-FR"/>
        </w:rPr>
        <w:t>un recours ordinaire devant les tribunaux administratifs internes serait dépourvu d</w:t>
      </w:r>
      <w:r w:rsidR="008D0C03">
        <w:rPr>
          <w:lang w:val="fr-FR"/>
        </w:rPr>
        <w:t>’</w:t>
      </w:r>
      <w:r>
        <w:rPr>
          <w:lang w:val="fr-FR"/>
        </w:rPr>
        <w:t>efficacité. Il en serait de même pour une « </w:t>
      </w:r>
      <w:r w:rsidRPr="00782A6F">
        <w:rPr>
          <w:i/>
          <w:lang w:val="fr-FR"/>
        </w:rPr>
        <w:t>class action</w:t>
      </w:r>
      <w:r>
        <w:rPr>
          <w:lang w:val="fr-FR"/>
        </w:rPr>
        <w:t> », cette voie de recours ne pouvant pas être utilisée à l</w:t>
      </w:r>
      <w:r w:rsidR="008D0C03">
        <w:rPr>
          <w:lang w:val="fr-FR"/>
        </w:rPr>
        <w:t>’</w:t>
      </w:r>
      <w:r>
        <w:rPr>
          <w:lang w:val="fr-FR"/>
        </w:rPr>
        <w:t xml:space="preserve">encontre de la Présidence du Conseil des Ministres (article 1 – </w:t>
      </w:r>
      <w:r w:rsidRPr="002C01AA">
        <w:rPr>
          <w:i/>
          <w:lang w:val="fr-FR"/>
        </w:rPr>
        <w:t>ter</w:t>
      </w:r>
      <w:r>
        <w:rPr>
          <w:lang w:val="fr-FR"/>
        </w:rPr>
        <w:t xml:space="preserve"> du décret législatif n</w:t>
      </w:r>
      <w:r w:rsidRPr="00DC23CA">
        <w:rPr>
          <w:vertAlign w:val="superscript"/>
          <w:lang w:val="fr-FR"/>
        </w:rPr>
        <w:t>o</w:t>
      </w:r>
      <w:r>
        <w:rPr>
          <w:lang w:val="fr-FR"/>
        </w:rPr>
        <w:t xml:space="preserve"> 198 du 20 décembre 2009), seul organisme à l</w:t>
      </w:r>
      <w:r w:rsidR="008D0C03">
        <w:rPr>
          <w:lang w:val="fr-FR"/>
        </w:rPr>
        <w:t>’</w:t>
      </w:r>
      <w:r>
        <w:rPr>
          <w:lang w:val="fr-FR"/>
        </w:rPr>
        <w:t>encontre duquel une action de ce type pourrait être introduite.</w:t>
      </w:r>
    </w:p>
    <w:p w:rsidR="00DC23CA" w:rsidRDefault="00DC23CA" w:rsidP="00DD3422">
      <w:pPr>
        <w:pStyle w:val="ECHRPara"/>
        <w:rPr>
          <w:lang w:val="fr-FR"/>
        </w:rPr>
      </w:pPr>
      <w:r>
        <w:rPr>
          <w:lang w:val="fr-FR"/>
        </w:rPr>
        <w:t>45.  En revanche, les requérants demandent la mise en place de mesures d</w:t>
      </w:r>
      <w:r w:rsidR="008D0C03">
        <w:rPr>
          <w:lang w:val="fr-FR"/>
        </w:rPr>
        <w:t>’</w:t>
      </w:r>
      <w:r>
        <w:rPr>
          <w:lang w:val="fr-FR"/>
        </w:rPr>
        <w:t>envergure et adéquates à mettre en œuvre par différentes administrations, dont l</w:t>
      </w:r>
      <w:r w:rsidR="008D0C03">
        <w:rPr>
          <w:lang w:val="fr-FR"/>
        </w:rPr>
        <w:t>’</w:t>
      </w:r>
      <w:r>
        <w:rPr>
          <w:lang w:val="fr-FR"/>
        </w:rPr>
        <w:t>établissement d</w:t>
      </w:r>
      <w:r w:rsidR="008D0C03">
        <w:rPr>
          <w:lang w:val="fr-FR"/>
        </w:rPr>
        <w:t>’</w:t>
      </w:r>
      <w:r>
        <w:rPr>
          <w:lang w:val="fr-FR"/>
        </w:rPr>
        <w:t>un plan d</w:t>
      </w:r>
      <w:r w:rsidR="008D0C03">
        <w:rPr>
          <w:lang w:val="fr-FR"/>
        </w:rPr>
        <w:t>’</w:t>
      </w:r>
      <w:r>
        <w:rPr>
          <w:lang w:val="fr-FR"/>
        </w:rPr>
        <w:t>urgence. La procédure administrative à épuiser visée par le Gouvernement serait donc excessivement complexe.</w:t>
      </w:r>
    </w:p>
    <w:p w:rsidR="00DC23CA" w:rsidRDefault="00DC23CA" w:rsidP="00DD3422">
      <w:pPr>
        <w:pStyle w:val="ECHRPara"/>
        <w:rPr>
          <w:lang w:val="fr-FR"/>
        </w:rPr>
      </w:pPr>
      <w:r>
        <w:rPr>
          <w:lang w:val="fr-FR"/>
        </w:rPr>
        <w:t>46.  Les requérants indiquent, en outre, être victimes des violations qu</w:t>
      </w:r>
      <w:r w:rsidR="008D0C03">
        <w:rPr>
          <w:lang w:val="fr-FR"/>
        </w:rPr>
        <w:t>’</w:t>
      </w:r>
      <w:r>
        <w:rPr>
          <w:lang w:val="fr-FR"/>
        </w:rPr>
        <w:t>ils allèguent car ils encourent un risque concret dû à la proximité de leur résidence avec le volcan.</w:t>
      </w:r>
    </w:p>
    <w:p w:rsidR="00DC23CA" w:rsidRDefault="00DC23CA" w:rsidP="00DD3422">
      <w:pPr>
        <w:pStyle w:val="ECHRPara"/>
        <w:rPr>
          <w:lang w:val="fr-FR"/>
        </w:rPr>
      </w:pPr>
      <w:r>
        <w:rPr>
          <w:lang w:val="fr-FR"/>
        </w:rPr>
        <w:t>47.  Quant au fond, les requérants observent que les mesures prises jusqu</w:t>
      </w:r>
      <w:r w:rsidR="008D0C03">
        <w:rPr>
          <w:lang w:val="fr-FR"/>
        </w:rPr>
        <w:t>’</w:t>
      </w:r>
      <w:r>
        <w:rPr>
          <w:lang w:val="fr-FR"/>
        </w:rPr>
        <w:t>à présent par le Gouvernement ne seraient que théoriques. De plus, ils n</w:t>
      </w:r>
      <w:r w:rsidR="008D0C03">
        <w:rPr>
          <w:lang w:val="fr-FR"/>
        </w:rPr>
        <w:t>’</w:t>
      </w:r>
      <w:r>
        <w:rPr>
          <w:lang w:val="fr-FR"/>
        </w:rPr>
        <w:t>auraient été destinataires d</w:t>
      </w:r>
      <w:r w:rsidR="008D0C03">
        <w:rPr>
          <w:lang w:val="fr-FR"/>
        </w:rPr>
        <w:t>’</w:t>
      </w:r>
      <w:r>
        <w:rPr>
          <w:lang w:val="fr-FR"/>
        </w:rPr>
        <w:t>aucune information concernant le comportement à tenir en cas d</w:t>
      </w:r>
      <w:r w:rsidR="008D0C03">
        <w:rPr>
          <w:lang w:val="fr-FR"/>
        </w:rPr>
        <w:t>’</w:t>
      </w:r>
      <w:r>
        <w:rPr>
          <w:lang w:val="fr-FR"/>
        </w:rPr>
        <w:t>éruption.</w:t>
      </w:r>
    </w:p>
    <w:p w:rsidR="00DC23CA" w:rsidRDefault="00DC23CA" w:rsidP="00DD3422">
      <w:pPr>
        <w:pStyle w:val="ECHRHeading2"/>
        <w:rPr>
          <w:lang w:val="fr-FR"/>
        </w:rPr>
      </w:pPr>
      <w:r>
        <w:rPr>
          <w:lang w:val="fr-FR"/>
        </w:rPr>
        <w:lastRenderedPageBreak/>
        <w:t>B.  L</w:t>
      </w:r>
      <w:r w:rsidR="008D0C03">
        <w:rPr>
          <w:lang w:val="fr-FR"/>
        </w:rPr>
        <w:t>’</w:t>
      </w:r>
      <w:r>
        <w:rPr>
          <w:lang w:val="fr-FR"/>
        </w:rPr>
        <w:t>appréciation de la Cour</w:t>
      </w:r>
    </w:p>
    <w:p w:rsidR="00DC23CA" w:rsidRPr="00EA3BD0" w:rsidRDefault="00DC23CA" w:rsidP="00DD3422">
      <w:pPr>
        <w:pStyle w:val="ECHRPara"/>
        <w:rPr>
          <w:lang w:val="fr-FR"/>
        </w:rPr>
      </w:pPr>
      <w:r>
        <w:rPr>
          <w:rStyle w:val="sb8d990e2"/>
          <w:lang w:val="fr-FR"/>
        </w:rPr>
        <w:t>48.  </w:t>
      </w:r>
      <w:r w:rsidRPr="00C5641C">
        <w:rPr>
          <w:rStyle w:val="sb8d990e2"/>
          <w:lang w:val="fr-FR"/>
        </w:rPr>
        <w:t>La</w:t>
      </w:r>
      <w:r>
        <w:rPr>
          <w:rStyle w:val="sb8d990e2"/>
          <w:lang w:val="fr-FR"/>
        </w:rPr>
        <w:t xml:space="preserve"> Cour rappelle d</w:t>
      </w:r>
      <w:r w:rsidR="008D0C03">
        <w:rPr>
          <w:rStyle w:val="sb8d990e2"/>
          <w:lang w:val="fr-FR"/>
        </w:rPr>
        <w:t>’</w:t>
      </w:r>
      <w:r>
        <w:rPr>
          <w:rStyle w:val="sb8d990e2"/>
          <w:lang w:val="fr-FR"/>
        </w:rPr>
        <w:t>emblée que l</w:t>
      </w:r>
      <w:r w:rsidRPr="00C5641C">
        <w:rPr>
          <w:rStyle w:val="sb8d990e2"/>
          <w:lang w:val="fr-FR"/>
        </w:rPr>
        <w:t>e mécanisme de sauvegarde instauré par la Convention revêt, et c</w:t>
      </w:r>
      <w:r w:rsidR="008D0C03">
        <w:rPr>
          <w:rStyle w:val="sb8d990e2"/>
          <w:lang w:val="fr-FR"/>
        </w:rPr>
        <w:t>’</w:t>
      </w:r>
      <w:r w:rsidRPr="00C5641C">
        <w:rPr>
          <w:rStyle w:val="sb8d990e2"/>
          <w:lang w:val="fr-FR"/>
        </w:rPr>
        <w:t>est primordial, un caractère subsidiaire par rapport aux systèmes nationaux de garantie des droits de l</w:t>
      </w:r>
      <w:r w:rsidR="008D0C03">
        <w:rPr>
          <w:rStyle w:val="sb8d990e2"/>
          <w:lang w:val="fr-FR"/>
        </w:rPr>
        <w:t>’</w:t>
      </w:r>
      <w:r w:rsidRPr="00C5641C">
        <w:rPr>
          <w:rStyle w:val="sb8d990e2"/>
          <w:lang w:val="fr-FR"/>
        </w:rPr>
        <w:t>homme. La Cour a la charge de surveiller le respect par les États contractants de leurs obligations découlant de la Convention. Elle ne doit pas se substituer aux États contractants, auxquels il incombe de veiller à ce que les droits et libertés fondamentaux consacrés par la Convention soient respectés et protégés au niveau interne. La règle de l</w:t>
      </w:r>
      <w:r w:rsidR="008D0C03">
        <w:rPr>
          <w:rStyle w:val="sb8d990e2"/>
          <w:lang w:val="fr-FR"/>
        </w:rPr>
        <w:t>’</w:t>
      </w:r>
      <w:r w:rsidRPr="00C5641C">
        <w:rPr>
          <w:rStyle w:val="sb8d990e2"/>
          <w:lang w:val="fr-FR"/>
        </w:rPr>
        <w:t>épuisement des recours internes se fonde sur l</w:t>
      </w:r>
      <w:r w:rsidR="008D0C03">
        <w:rPr>
          <w:rStyle w:val="sb8d990e2"/>
          <w:lang w:val="fr-FR"/>
        </w:rPr>
        <w:t>’</w:t>
      </w:r>
      <w:r w:rsidRPr="00C5641C">
        <w:rPr>
          <w:rStyle w:val="sb8d990e2"/>
          <w:lang w:val="fr-FR"/>
        </w:rPr>
        <w:t>hypothèse, reflétée dans l</w:t>
      </w:r>
      <w:r w:rsidR="008D0C03">
        <w:rPr>
          <w:rStyle w:val="sb8d990e2"/>
          <w:lang w:val="fr-FR"/>
        </w:rPr>
        <w:t>’</w:t>
      </w:r>
      <w:r w:rsidRPr="00C5641C">
        <w:rPr>
          <w:rStyle w:val="sb8d990e2"/>
          <w:lang w:val="fr-FR"/>
        </w:rPr>
        <w:t>article 13 de la Convention, avec lequel elle présente d</w:t>
      </w:r>
      <w:r w:rsidR="008D0C03">
        <w:rPr>
          <w:rStyle w:val="sb8d990e2"/>
          <w:lang w:val="fr-FR"/>
        </w:rPr>
        <w:t>’</w:t>
      </w:r>
      <w:r w:rsidRPr="00C5641C">
        <w:rPr>
          <w:rStyle w:val="sb8d990e2"/>
          <w:lang w:val="fr-FR"/>
        </w:rPr>
        <w:t>étroites affinités, que l</w:t>
      </w:r>
      <w:r w:rsidR="008D0C03">
        <w:rPr>
          <w:rStyle w:val="sb8d990e2"/>
          <w:lang w:val="fr-FR"/>
        </w:rPr>
        <w:t>’</w:t>
      </w:r>
      <w:r w:rsidRPr="00C5641C">
        <w:rPr>
          <w:rStyle w:val="sb8d990e2"/>
          <w:lang w:val="fr-FR"/>
        </w:rPr>
        <w:t>ordre interne offre un recours effectif quant à la violation alléguée. Elle est donc une partie indispensable du fonctionnement de ce mécanisme de protection</w:t>
      </w:r>
      <w:r>
        <w:rPr>
          <w:rStyle w:val="sb8d990e2"/>
          <w:lang w:val="fr-FR"/>
        </w:rPr>
        <w:t xml:space="preserve"> (</w:t>
      </w:r>
      <w:r w:rsidRPr="00C5641C">
        <w:rPr>
          <w:i/>
          <w:lang w:val="fr-FR"/>
        </w:rPr>
        <w:t>Vučković et autres</w:t>
      </w:r>
      <w:r>
        <w:rPr>
          <w:i/>
          <w:lang w:val="fr-FR"/>
        </w:rPr>
        <w:t> </w:t>
      </w:r>
      <w:r w:rsidRPr="00C5641C">
        <w:rPr>
          <w:i/>
          <w:lang w:val="fr-FR"/>
        </w:rPr>
        <w:t>c.</w:t>
      </w:r>
      <w:r>
        <w:rPr>
          <w:i/>
          <w:lang w:val="fr-FR"/>
        </w:rPr>
        <w:t> </w:t>
      </w:r>
      <w:r w:rsidRPr="00C5641C">
        <w:rPr>
          <w:i/>
          <w:lang w:val="fr-FR"/>
        </w:rPr>
        <w:t xml:space="preserve">Serbie </w:t>
      </w:r>
      <w:r w:rsidRPr="00C5641C">
        <w:rPr>
          <w:lang w:val="fr-FR"/>
        </w:rPr>
        <w:t>[GC], n</w:t>
      </w:r>
      <w:r w:rsidRPr="00C5641C">
        <w:rPr>
          <w:vertAlign w:val="superscript"/>
          <w:lang w:val="fr-FR"/>
        </w:rPr>
        <w:t>o</w:t>
      </w:r>
      <w:r w:rsidRPr="00C5641C">
        <w:rPr>
          <w:lang w:val="fr-FR"/>
        </w:rPr>
        <w:t xml:space="preserve"> 17153/11</w:t>
      </w:r>
      <w:r w:rsidRPr="00C5641C">
        <w:rPr>
          <w:snapToGrid w:val="0"/>
          <w:color w:val="000000"/>
          <w:lang w:val="fr-FR"/>
        </w:rPr>
        <w:t xml:space="preserve">, § 69, </w:t>
      </w:r>
      <w:r w:rsidRPr="00C5641C">
        <w:rPr>
          <w:color w:val="000000"/>
          <w:lang w:val="fr-FR"/>
        </w:rPr>
        <w:t>25</w:t>
      </w:r>
      <w:r w:rsidRPr="00C5641C">
        <w:rPr>
          <w:snapToGrid w:val="0"/>
          <w:color w:val="000000"/>
          <w:lang w:val="fr-FR"/>
        </w:rPr>
        <w:t xml:space="preserve"> </w:t>
      </w:r>
      <w:r w:rsidRPr="00C5641C">
        <w:rPr>
          <w:color w:val="000000"/>
          <w:lang w:val="fr-FR"/>
        </w:rPr>
        <w:t>mars</w:t>
      </w:r>
      <w:r w:rsidRPr="00C5641C">
        <w:rPr>
          <w:snapToGrid w:val="0"/>
          <w:color w:val="000000"/>
          <w:lang w:val="fr-FR"/>
        </w:rPr>
        <w:t xml:space="preserve"> 2014).</w:t>
      </w:r>
    </w:p>
    <w:p w:rsidR="00DC23CA" w:rsidRPr="003F22A4" w:rsidRDefault="00DC23CA" w:rsidP="00DD3422">
      <w:pPr>
        <w:pStyle w:val="ECHRPara"/>
        <w:rPr>
          <w:i/>
          <w:lang w:val="fr-FR"/>
        </w:rPr>
      </w:pPr>
      <w:r>
        <w:rPr>
          <w:rStyle w:val="sb8d990e2"/>
          <w:lang w:val="fr-FR"/>
        </w:rPr>
        <w:t>49.  La Cour considère ensuite</w:t>
      </w:r>
      <w:r w:rsidRPr="001D10DC">
        <w:rPr>
          <w:rStyle w:val="sb8d990e2"/>
          <w:lang w:val="fr-FR"/>
        </w:rPr>
        <w:t xml:space="preserve"> qu</w:t>
      </w:r>
      <w:r w:rsidR="008D0C03">
        <w:rPr>
          <w:rStyle w:val="sb8d990e2"/>
          <w:lang w:val="fr-FR"/>
        </w:rPr>
        <w:t>’</w:t>
      </w:r>
      <w:r w:rsidRPr="003F22A4">
        <w:rPr>
          <w:rStyle w:val="sb8d990e2"/>
          <w:lang w:val="fr-FR"/>
        </w:rPr>
        <w:t>aux termes de l</w:t>
      </w:r>
      <w:r w:rsidR="008D0C03">
        <w:rPr>
          <w:rStyle w:val="sb8d990e2"/>
          <w:lang w:val="fr-FR"/>
        </w:rPr>
        <w:t>’</w:t>
      </w:r>
      <w:r w:rsidRPr="003F22A4">
        <w:rPr>
          <w:rStyle w:val="sb8d990e2"/>
          <w:lang w:val="fr-FR"/>
        </w:rPr>
        <w:t>article 35 § 1 de la Conventi</w:t>
      </w:r>
      <w:r w:rsidRPr="001D10DC">
        <w:rPr>
          <w:rStyle w:val="sb8d990e2"/>
          <w:lang w:val="fr-FR"/>
        </w:rPr>
        <w:t>on, elle ne peut être saisie qu</w:t>
      </w:r>
      <w:r w:rsidR="008D0C03">
        <w:rPr>
          <w:rStyle w:val="sb8d990e2"/>
          <w:lang w:val="fr-FR"/>
        </w:rPr>
        <w:t>’</w:t>
      </w:r>
      <w:r w:rsidRPr="00111AE9">
        <w:rPr>
          <w:rStyle w:val="sb8d990e2"/>
          <w:lang w:val="fr-FR"/>
        </w:rPr>
        <w:t>après l</w:t>
      </w:r>
      <w:r w:rsidR="008D0C03">
        <w:rPr>
          <w:rStyle w:val="sb8d990e2"/>
          <w:lang w:val="fr-FR"/>
        </w:rPr>
        <w:t>’</w:t>
      </w:r>
      <w:r w:rsidRPr="003F22A4">
        <w:rPr>
          <w:rStyle w:val="sb8d990e2"/>
          <w:lang w:val="fr-FR"/>
        </w:rPr>
        <w:t>épuisement des voies de recours internes. Tout requérant doit avoir do</w:t>
      </w:r>
      <w:r w:rsidRPr="00111AE9">
        <w:rPr>
          <w:rStyle w:val="sb8d990e2"/>
          <w:lang w:val="fr-FR"/>
        </w:rPr>
        <w:t>nné aux juridictions internes l</w:t>
      </w:r>
      <w:r w:rsidR="008D0C03">
        <w:rPr>
          <w:rStyle w:val="sb8d990e2"/>
          <w:lang w:val="fr-FR"/>
        </w:rPr>
        <w:t>’</w:t>
      </w:r>
      <w:r w:rsidRPr="003F22A4">
        <w:rPr>
          <w:rStyle w:val="sb8d990e2"/>
          <w:lang w:val="fr-FR"/>
        </w:rPr>
        <w:t xml:space="preserve">occasion que cette disposition a pour finalité de ménager en principe aux </w:t>
      </w:r>
      <w:r w:rsidRPr="001D10DC">
        <w:rPr>
          <w:rStyle w:val="sb8d990e2"/>
          <w:lang w:val="fr-FR"/>
        </w:rPr>
        <w:t>États</w:t>
      </w:r>
      <w:r w:rsidRPr="003F22A4">
        <w:rPr>
          <w:rStyle w:val="sb8d990e2"/>
          <w:lang w:val="fr-FR"/>
        </w:rPr>
        <w:t xml:space="preserve"> contractants, à savoir éviter ou redresser les violations alléguées contre </w:t>
      </w:r>
      <w:r w:rsidRPr="001D10DC">
        <w:rPr>
          <w:rStyle w:val="sb8d990e2"/>
          <w:lang w:val="fr-FR"/>
        </w:rPr>
        <w:t>eux. Les dispositions de l</w:t>
      </w:r>
      <w:r w:rsidR="008D0C03">
        <w:rPr>
          <w:rStyle w:val="sb8d990e2"/>
          <w:lang w:val="fr-FR"/>
        </w:rPr>
        <w:t>’</w:t>
      </w:r>
      <w:r w:rsidRPr="003F22A4">
        <w:rPr>
          <w:rStyle w:val="sb8d990e2"/>
          <w:lang w:val="fr-FR"/>
        </w:rPr>
        <w:t>article 35</w:t>
      </w:r>
      <w:r w:rsidRPr="001D10DC">
        <w:rPr>
          <w:rStyle w:val="sb8d990e2"/>
          <w:lang w:val="fr-FR"/>
        </w:rPr>
        <w:t xml:space="preserve"> § 1 ne prescrivent toutefois l</w:t>
      </w:r>
      <w:r w:rsidR="008D0C03">
        <w:rPr>
          <w:rStyle w:val="sb8d990e2"/>
          <w:lang w:val="fr-FR"/>
        </w:rPr>
        <w:t>’</w:t>
      </w:r>
      <w:r w:rsidRPr="003F22A4">
        <w:rPr>
          <w:rStyle w:val="sb8d990e2"/>
          <w:lang w:val="fr-FR"/>
        </w:rPr>
        <w:t>épuisement que des seuls recours à la fois relatifs aux violations incriminées, disponibles et adéquats. Ils doivent exister à un degré suffisant de</w:t>
      </w:r>
      <w:r w:rsidRPr="003F22A4">
        <w:rPr>
          <w:rStyle w:val="s7d2086b4"/>
          <w:lang w:val="fr-FR"/>
        </w:rPr>
        <w:t xml:space="preserve"> </w:t>
      </w:r>
      <w:r w:rsidRPr="003F22A4">
        <w:rPr>
          <w:rStyle w:val="sb8d990e2"/>
          <w:lang w:val="fr-FR"/>
        </w:rPr>
        <w:t>certitude non seulement en théorie mais aussi en prat</w:t>
      </w:r>
      <w:r w:rsidRPr="001D10DC">
        <w:rPr>
          <w:rStyle w:val="sb8d990e2"/>
          <w:lang w:val="fr-FR"/>
        </w:rPr>
        <w:t xml:space="preserve">ique, sans quoi leur </w:t>
      </w:r>
      <w:r w:rsidRPr="00E66EE3">
        <w:rPr>
          <w:rStyle w:val="sb8d990e2"/>
          <w:lang w:val="fr-FR"/>
        </w:rPr>
        <w:t>manquent l</w:t>
      </w:r>
      <w:r w:rsidR="008D0C03">
        <w:rPr>
          <w:rStyle w:val="sb8d990e2"/>
          <w:lang w:val="fr-FR"/>
        </w:rPr>
        <w:t>’</w:t>
      </w:r>
      <w:r w:rsidRPr="0007513F">
        <w:rPr>
          <w:rStyle w:val="sb8d990e2"/>
          <w:lang w:val="fr-FR"/>
        </w:rPr>
        <w:t>effectivité et l</w:t>
      </w:r>
      <w:r w:rsidR="008D0C03">
        <w:rPr>
          <w:rStyle w:val="sb8d990e2"/>
          <w:lang w:val="fr-FR"/>
        </w:rPr>
        <w:t>’</w:t>
      </w:r>
      <w:r w:rsidRPr="00E06659">
        <w:rPr>
          <w:rStyle w:val="sb8d990e2"/>
          <w:lang w:val="fr-FR"/>
        </w:rPr>
        <w:t>accessibilité</w:t>
      </w:r>
      <w:r w:rsidRPr="00E06659">
        <w:rPr>
          <w:rStyle w:val="s7d2086b4"/>
          <w:lang w:val="fr-FR"/>
        </w:rPr>
        <w:t xml:space="preserve"> </w:t>
      </w:r>
      <w:r w:rsidRPr="00E06659">
        <w:rPr>
          <w:rStyle w:val="sb8d990e2"/>
          <w:lang w:val="fr-FR"/>
        </w:rPr>
        <w:t xml:space="preserve">voulues ; il incombe à </w:t>
      </w:r>
      <w:r w:rsidRPr="00E66EE3">
        <w:rPr>
          <w:rStyle w:val="sb8d990e2"/>
          <w:lang w:val="fr-FR"/>
        </w:rPr>
        <w:t>l</w:t>
      </w:r>
      <w:r w:rsidR="008D0C03">
        <w:rPr>
          <w:rStyle w:val="sb8d990e2"/>
          <w:lang w:val="fr-FR"/>
        </w:rPr>
        <w:t>’</w:t>
      </w:r>
      <w:r w:rsidRPr="00E66EE3">
        <w:rPr>
          <w:rStyle w:val="sb8d990e2"/>
          <w:lang w:val="fr-FR"/>
        </w:rPr>
        <w:t>État défendeur de démontrer que ces exigences se trouvent réunies (voir, parmi beaucoup d</w:t>
      </w:r>
      <w:r w:rsidR="008D0C03">
        <w:rPr>
          <w:rStyle w:val="sb8d990e2"/>
          <w:lang w:val="fr-FR"/>
        </w:rPr>
        <w:t>’</w:t>
      </w:r>
      <w:r w:rsidRPr="00E66EE3">
        <w:rPr>
          <w:rStyle w:val="sb8d990e2"/>
          <w:lang w:val="fr-FR"/>
        </w:rPr>
        <w:t xml:space="preserve">autres, </w:t>
      </w:r>
      <w:r w:rsidRPr="00E66EE3">
        <w:rPr>
          <w:i/>
          <w:lang w:val="fr-FR"/>
        </w:rPr>
        <w:t xml:space="preserve">McFarlane c. Irlande </w:t>
      </w:r>
      <w:r w:rsidRPr="00E66EE3">
        <w:rPr>
          <w:lang w:val="fr-FR"/>
        </w:rPr>
        <w:t>[GC</w:t>
      </w:r>
      <w:r w:rsidRPr="003F1469">
        <w:rPr>
          <w:lang w:val="fr-FR"/>
        </w:rPr>
        <w:t>], n</w:t>
      </w:r>
      <w:r w:rsidRPr="003F1469">
        <w:rPr>
          <w:vertAlign w:val="superscript"/>
          <w:lang w:val="fr-FR"/>
        </w:rPr>
        <w:t>o</w:t>
      </w:r>
      <w:r w:rsidRPr="003F1469">
        <w:rPr>
          <w:lang w:val="fr-FR"/>
        </w:rPr>
        <w:t xml:space="preserve"> 31333/06, § 107, 10</w:t>
      </w:r>
      <w:r>
        <w:rPr>
          <w:lang w:val="fr-FR"/>
        </w:rPr>
        <w:t> </w:t>
      </w:r>
      <w:r w:rsidRPr="003F1469">
        <w:rPr>
          <w:lang w:val="fr-FR"/>
        </w:rPr>
        <w:t xml:space="preserve">septembre 2010, </w:t>
      </w:r>
      <w:r w:rsidRPr="00FF3DE7">
        <w:rPr>
          <w:rStyle w:val="s6b621b36"/>
          <w:i/>
          <w:lang w:val="fr-FR"/>
        </w:rPr>
        <w:t>Mifsud c. France</w:t>
      </w:r>
      <w:r w:rsidRPr="00FF3DE7">
        <w:rPr>
          <w:rStyle w:val="sb8d990e2"/>
          <w:lang w:val="fr-FR"/>
        </w:rPr>
        <w:t xml:space="preserve"> (déc.) [GC], n</w:t>
      </w:r>
      <w:r w:rsidRPr="00DC23CA">
        <w:rPr>
          <w:rStyle w:val="sea881cdf"/>
          <w:vertAlign w:val="superscript"/>
          <w:lang w:val="fr-FR"/>
        </w:rPr>
        <w:t>o</w:t>
      </w:r>
      <w:r w:rsidRPr="00FF3DE7">
        <w:rPr>
          <w:rStyle w:val="sb8d990e2"/>
          <w:lang w:val="fr-FR"/>
        </w:rPr>
        <w:t xml:space="preserve"> </w:t>
      </w:r>
      <w:r w:rsidRPr="008D0C03">
        <w:rPr>
          <w:lang w:val="fr-FR"/>
        </w:rPr>
        <w:t>57220/00</w:t>
      </w:r>
      <w:r w:rsidRPr="00FF3DE7">
        <w:rPr>
          <w:rStyle w:val="sb8d990e2"/>
          <w:lang w:val="fr-FR"/>
        </w:rPr>
        <w:t>, § 15, CEDH 2002</w:t>
      </w:r>
      <w:r w:rsidRPr="00FF3DE7">
        <w:rPr>
          <w:rStyle w:val="sb8d990e2"/>
          <w:lang w:val="fr-FR"/>
        </w:rPr>
        <w:noBreakHyphen/>
        <w:t xml:space="preserve">VIII et </w:t>
      </w:r>
      <w:r w:rsidRPr="00FF3DE7">
        <w:rPr>
          <w:rStyle w:val="s6b621b36"/>
          <w:i/>
          <w:lang w:val="fr-FR"/>
        </w:rPr>
        <w:t>Leandro Da Silva c. Luxembourg</w:t>
      </w:r>
      <w:r w:rsidRPr="00FF3DE7">
        <w:rPr>
          <w:rStyle w:val="sb8d990e2"/>
          <w:lang w:val="fr-FR"/>
        </w:rPr>
        <w:t>, n</w:t>
      </w:r>
      <w:r w:rsidRPr="00DC23CA">
        <w:rPr>
          <w:rStyle w:val="sea881cdf"/>
          <w:vertAlign w:val="superscript"/>
          <w:lang w:val="fr-FR"/>
        </w:rPr>
        <w:t>o</w:t>
      </w:r>
      <w:r w:rsidRPr="00FF3DE7">
        <w:rPr>
          <w:rStyle w:val="sea881cdf"/>
          <w:lang w:val="fr-FR"/>
        </w:rPr>
        <w:t> </w:t>
      </w:r>
      <w:r w:rsidRPr="008D0C03">
        <w:rPr>
          <w:lang w:val="fr-FR"/>
        </w:rPr>
        <w:t>30273/07</w:t>
      </w:r>
      <w:r w:rsidRPr="00E66EE3">
        <w:rPr>
          <w:rStyle w:val="sb8d990e2"/>
          <w:lang w:val="fr-FR"/>
        </w:rPr>
        <w:t>, §§ 40 et 42, 11 février 2010).</w:t>
      </w:r>
    </w:p>
    <w:p w:rsidR="00DC23CA" w:rsidRDefault="00DC23CA" w:rsidP="00DD3422">
      <w:pPr>
        <w:pStyle w:val="ECHRPara"/>
        <w:rPr>
          <w:lang w:val="fr-FR"/>
        </w:rPr>
      </w:pPr>
      <w:r>
        <w:rPr>
          <w:lang w:val="fr-FR"/>
        </w:rPr>
        <w:t>50.  Dans la présente affaire, la Cour observe que, selon le Gouvernement, il était loisible aux requérants d</w:t>
      </w:r>
      <w:r w:rsidR="008D0C03">
        <w:rPr>
          <w:lang w:val="fr-FR"/>
        </w:rPr>
        <w:t>’</w:t>
      </w:r>
      <w:r>
        <w:rPr>
          <w:lang w:val="fr-FR"/>
        </w:rPr>
        <w:t>introduire une demande spécifique devant les autorités internes tendant à obtenir les mesures de prévention qu</w:t>
      </w:r>
      <w:r w:rsidR="008D0C03">
        <w:rPr>
          <w:lang w:val="fr-FR"/>
        </w:rPr>
        <w:t>’</w:t>
      </w:r>
      <w:r>
        <w:rPr>
          <w:lang w:val="fr-FR"/>
        </w:rPr>
        <w:t>ils estiment nécessaires. En cas de silence, ils pourraient saisir les juridictions administratives, à savoir, le tribunal administratif régional et le Conseil d</w:t>
      </w:r>
      <w:r w:rsidR="008D0C03">
        <w:rPr>
          <w:lang w:val="fr-FR"/>
        </w:rPr>
        <w:t>’</w:t>
      </w:r>
      <w:r>
        <w:rPr>
          <w:lang w:val="fr-FR"/>
        </w:rPr>
        <w:t>État.</w:t>
      </w:r>
    </w:p>
    <w:p w:rsidR="00DC23CA" w:rsidRDefault="00DC23CA" w:rsidP="00DD3422">
      <w:pPr>
        <w:pStyle w:val="ECHRPara"/>
        <w:rPr>
          <w:lang w:val="fr-FR"/>
        </w:rPr>
      </w:pPr>
      <w:r>
        <w:rPr>
          <w:lang w:val="fr-FR"/>
        </w:rPr>
        <w:t>51. En outre, les requérants auraient pu se prévaloir d</w:t>
      </w:r>
      <w:r w:rsidR="008D0C03">
        <w:rPr>
          <w:lang w:val="fr-FR"/>
        </w:rPr>
        <w:t>’</w:t>
      </w:r>
      <w:r>
        <w:rPr>
          <w:lang w:val="fr-FR"/>
        </w:rPr>
        <w:t>une « </w:t>
      </w:r>
      <w:r w:rsidRPr="000D10F5">
        <w:rPr>
          <w:i/>
          <w:lang w:val="fr-FR"/>
        </w:rPr>
        <w:t>class action</w:t>
      </w:r>
      <w:r>
        <w:rPr>
          <w:lang w:val="fr-FR"/>
        </w:rPr>
        <w:t> », aux termes de l</w:t>
      </w:r>
      <w:r w:rsidR="008D0C03">
        <w:rPr>
          <w:lang w:val="fr-FR"/>
        </w:rPr>
        <w:t>’</w:t>
      </w:r>
      <w:r>
        <w:rPr>
          <w:lang w:val="fr-FR"/>
        </w:rPr>
        <w:t>article 4 § 2, lettre l, de la loi n</w:t>
      </w:r>
      <w:r w:rsidRPr="00DC23CA">
        <w:rPr>
          <w:vertAlign w:val="superscript"/>
          <w:lang w:val="fr-FR"/>
        </w:rPr>
        <w:t>o</w:t>
      </w:r>
      <w:r>
        <w:rPr>
          <w:lang w:val="fr-FR"/>
        </w:rPr>
        <w:t xml:space="preserve"> 15 du 4 mars 2009 et du décret législatif n</w:t>
      </w:r>
      <w:r w:rsidRPr="00DC23CA">
        <w:rPr>
          <w:vertAlign w:val="superscript"/>
          <w:lang w:val="fr-FR"/>
        </w:rPr>
        <w:t>o</w:t>
      </w:r>
      <w:r>
        <w:rPr>
          <w:lang w:val="fr-FR"/>
        </w:rPr>
        <w:t xml:space="preserve"> 198 du 20 décembre 2009.</w:t>
      </w:r>
    </w:p>
    <w:p w:rsidR="00DC23CA" w:rsidRDefault="00DC23CA" w:rsidP="00DD3422">
      <w:pPr>
        <w:pStyle w:val="ECHRPara"/>
        <w:rPr>
          <w:lang w:val="fr-FR"/>
        </w:rPr>
      </w:pPr>
      <w:r>
        <w:rPr>
          <w:lang w:val="fr-FR"/>
        </w:rPr>
        <w:t>52.  La Cour relève que les requérants se sont limités à affirmer de manière générale qu</w:t>
      </w:r>
      <w:r w:rsidR="008D0C03">
        <w:rPr>
          <w:lang w:val="fr-FR"/>
        </w:rPr>
        <w:t>’</w:t>
      </w:r>
      <w:r>
        <w:rPr>
          <w:lang w:val="fr-FR"/>
        </w:rPr>
        <w:t>un recours devant les juridictions administratives se révélerait excessivement complexe en l</w:t>
      </w:r>
      <w:r w:rsidR="008D0C03">
        <w:rPr>
          <w:lang w:val="fr-FR"/>
        </w:rPr>
        <w:t>’</w:t>
      </w:r>
      <w:r>
        <w:rPr>
          <w:lang w:val="fr-FR"/>
        </w:rPr>
        <w:t>espèce.</w:t>
      </w:r>
    </w:p>
    <w:p w:rsidR="00DC23CA" w:rsidRDefault="00DC23CA" w:rsidP="00DD3422">
      <w:pPr>
        <w:pStyle w:val="ECHRPara"/>
        <w:rPr>
          <w:lang w:val="fr-FR"/>
        </w:rPr>
      </w:pPr>
      <w:r>
        <w:rPr>
          <w:lang w:val="fr-FR"/>
        </w:rPr>
        <w:t>53.  De plus, quant à la possibilité d</w:t>
      </w:r>
      <w:r w:rsidR="008D0C03">
        <w:rPr>
          <w:lang w:val="fr-FR"/>
        </w:rPr>
        <w:t>’</w:t>
      </w:r>
      <w:r>
        <w:rPr>
          <w:lang w:val="fr-FR"/>
        </w:rPr>
        <w:t>introduire une « </w:t>
      </w:r>
      <w:r w:rsidRPr="00FF2ED3">
        <w:rPr>
          <w:i/>
          <w:lang w:val="fr-FR"/>
        </w:rPr>
        <w:t>class action</w:t>
      </w:r>
      <w:r>
        <w:rPr>
          <w:lang w:val="fr-FR"/>
        </w:rPr>
        <w:t> », la Cour ne peut que constater que la Présidence du Conseil des Ministres n</w:t>
      </w:r>
      <w:r w:rsidR="008D0C03">
        <w:rPr>
          <w:lang w:val="fr-FR"/>
        </w:rPr>
        <w:t>’</w:t>
      </w:r>
      <w:r>
        <w:rPr>
          <w:lang w:val="fr-FR"/>
        </w:rPr>
        <w:t xml:space="preserve">est </w:t>
      </w:r>
      <w:r>
        <w:rPr>
          <w:lang w:val="fr-FR"/>
        </w:rPr>
        <w:lastRenderedPageBreak/>
        <w:t>pas le seul organisme susceptible d</w:t>
      </w:r>
      <w:r w:rsidR="008D0C03">
        <w:rPr>
          <w:lang w:val="fr-FR"/>
        </w:rPr>
        <w:t>’</w:t>
      </w:r>
      <w:r>
        <w:rPr>
          <w:lang w:val="fr-FR"/>
        </w:rPr>
        <w:t>une telle saisine. Le décret législatif n</w:t>
      </w:r>
      <w:r w:rsidRPr="00DC23CA">
        <w:rPr>
          <w:vertAlign w:val="superscript"/>
          <w:lang w:val="fr-FR"/>
        </w:rPr>
        <w:t>o</w:t>
      </w:r>
      <w:r>
        <w:rPr>
          <w:lang w:val="fr-FR"/>
        </w:rPr>
        <w:t> 198 du 20 décembre 2009 et, dans des termes similaires, la loi n</w:t>
      </w:r>
      <w:r w:rsidRPr="00DC23CA">
        <w:rPr>
          <w:vertAlign w:val="superscript"/>
          <w:lang w:val="fr-FR"/>
        </w:rPr>
        <w:t>o</w:t>
      </w:r>
      <w:r>
        <w:rPr>
          <w:lang w:val="fr-FR"/>
        </w:rPr>
        <w:t xml:space="preserve"> 15 du 4 mars 2009, prévoit en effet que ce recours peut être introduit « à l</w:t>
      </w:r>
      <w:r w:rsidR="008D0C03">
        <w:rPr>
          <w:lang w:val="fr-FR"/>
        </w:rPr>
        <w:t>’</w:t>
      </w:r>
      <w:r>
        <w:rPr>
          <w:lang w:val="fr-FR"/>
        </w:rPr>
        <w:t>encontre des administrations publiques (...) lorsqu</w:t>
      </w:r>
      <w:r w:rsidR="008D0C03">
        <w:rPr>
          <w:lang w:val="fr-FR"/>
        </w:rPr>
        <w:t>’</w:t>
      </w:r>
      <w:r>
        <w:rPr>
          <w:lang w:val="fr-FR"/>
        </w:rPr>
        <w:t>une atteinte directe, concrète et actuelle des [...] intérêts [communs à une pluralité d</w:t>
      </w:r>
      <w:r w:rsidR="008D0C03">
        <w:rPr>
          <w:lang w:val="fr-FR"/>
        </w:rPr>
        <w:t>’</w:t>
      </w:r>
      <w:r>
        <w:rPr>
          <w:lang w:val="fr-FR"/>
        </w:rPr>
        <w:t>usagers ou de consommateurs] résulte du manque de respect des délais ou de l</w:t>
      </w:r>
      <w:r w:rsidR="008D0C03">
        <w:rPr>
          <w:lang w:val="fr-FR"/>
        </w:rPr>
        <w:t>’</w:t>
      </w:r>
      <w:r>
        <w:rPr>
          <w:lang w:val="fr-FR"/>
        </w:rPr>
        <w:t xml:space="preserve">omission dans la délivrance </w:t>
      </w:r>
      <w:r w:rsidRPr="00CB2D79">
        <w:rPr>
          <w:lang w:val="fr-FR"/>
        </w:rPr>
        <w:t>d</w:t>
      </w:r>
      <w:r w:rsidR="008D0C03">
        <w:rPr>
          <w:lang w:val="fr-FR"/>
        </w:rPr>
        <w:t>’</w:t>
      </w:r>
      <w:r w:rsidRPr="00CB2D79">
        <w:rPr>
          <w:lang w:val="fr-FR"/>
        </w:rPr>
        <w:t>actes administratifs (</w:t>
      </w:r>
      <w:r>
        <w:rPr>
          <w:lang w:val="fr-FR"/>
        </w:rPr>
        <w:t>...</w:t>
      </w:r>
      <w:r w:rsidRPr="00CB2D79">
        <w:rPr>
          <w:lang w:val="fr-FR"/>
        </w:rPr>
        <w:t>). » (paragraphes 10-11 ci-dessus).</w:t>
      </w:r>
    </w:p>
    <w:p w:rsidR="00DC23CA" w:rsidRDefault="00DC23CA" w:rsidP="00DD3422">
      <w:pPr>
        <w:pStyle w:val="ECHRPara"/>
        <w:rPr>
          <w:lang w:val="fr-FR"/>
        </w:rPr>
      </w:pPr>
      <w:r>
        <w:rPr>
          <w:szCs w:val="24"/>
          <w:lang w:val="fr-FR"/>
        </w:rPr>
        <w:t>54</w:t>
      </w:r>
      <w:r w:rsidRPr="00B857A0">
        <w:rPr>
          <w:szCs w:val="24"/>
          <w:lang w:val="fr-FR"/>
        </w:rPr>
        <w:t>.  A</w:t>
      </w:r>
      <w:r>
        <w:rPr>
          <w:szCs w:val="24"/>
          <w:lang w:val="fr-FR"/>
        </w:rPr>
        <w:t xml:space="preserve">u vu </w:t>
      </w:r>
      <w:r>
        <w:rPr>
          <w:lang w:val="fr-FR"/>
        </w:rPr>
        <w:t>de ce qui précède, l</w:t>
      </w:r>
      <w:r w:rsidR="008D0C03">
        <w:rPr>
          <w:lang w:val="fr-FR"/>
        </w:rPr>
        <w:t>’</w:t>
      </w:r>
      <w:r>
        <w:rPr>
          <w:lang w:val="fr-FR"/>
        </w:rPr>
        <w:t>exception du Gouvernement tirée du non-épuisement des voies de recours internes doit être accueillie et la requête doit donc être rejetée, au sens de l</w:t>
      </w:r>
      <w:r w:rsidR="008D0C03">
        <w:rPr>
          <w:lang w:val="fr-FR"/>
        </w:rPr>
        <w:t>’</w:t>
      </w:r>
      <w:r>
        <w:rPr>
          <w:lang w:val="fr-FR"/>
        </w:rPr>
        <w:t>article 35 §§ 1 et 4 de la Convention.</w:t>
      </w:r>
    </w:p>
    <w:p w:rsidR="00DC23CA" w:rsidRDefault="00DC23CA" w:rsidP="00DD3422">
      <w:pPr>
        <w:pStyle w:val="ECHRPara"/>
        <w:rPr>
          <w:lang w:val="fr-FR"/>
        </w:rPr>
      </w:pPr>
      <w:r>
        <w:rPr>
          <w:lang w:val="fr-FR"/>
        </w:rPr>
        <w:t>55.  Cette conclusion dispense la Cour d</w:t>
      </w:r>
      <w:r w:rsidR="008D0C03">
        <w:rPr>
          <w:lang w:val="fr-FR"/>
        </w:rPr>
        <w:t>’</w:t>
      </w:r>
      <w:r>
        <w:rPr>
          <w:lang w:val="fr-FR"/>
        </w:rPr>
        <w:t>examiner les autres exceptions d</w:t>
      </w:r>
      <w:r w:rsidR="008D0C03">
        <w:rPr>
          <w:lang w:val="fr-FR"/>
        </w:rPr>
        <w:t>’</w:t>
      </w:r>
      <w:r>
        <w:rPr>
          <w:lang w:val="fr-FR"/>
        </w:rPr>
        <w:t>irrecevabilité soulevées par le Gouvernement.</w:t>
      </w:r>
    </w:p>
    <w:p w:rsidR="00DC23CA" w:rsidRPr="0072720E" w:rsidRDefault="00DC23CA" w:rsidP="008D0C03">
      <w:pPr>
        <w:pStyle w:val="JuParaLast"/>
        <w:rPr>
          <w:lang w:val="fr-FR"/>
        </w:rPr>
      </w:pPr>
      <w:r w:rsidRPr="0072720E">
        <w:rPr>
          <w:lang w:val="fr-FR"/>
        </w:rPr>
        <w:t>Par ces motifs, la Cour, à la majorité,</w:t>
      </w:r>
    </w:p>
    <w:p w:rsidR="00DC23CA" w:rsidRPr="0072720E" w:rsidRDefault="00DC23CA" w:rsidP="00DD3422">
      <w:pPr>
        <w:pStyle w:val="DecList"/>
        <w:rPr>
          <w:lang w:val="fr-FR"/>
        </w:rPr>
      </w:pPr>
      <w:r w:rsidRPr="0072720E">
        <w:rPr>
          <w:i/>
          <w:lang w:val="fr-FR"/>
        </w:rPr>
        <w:t xml:space="preserve">Déclare </w:t>
      </w:r>
      <w:r w:rsidRPr="0072720E">
        <w:rPr>
          <w:lang w:val="fr-FR"/>
        </w:rPr>
        <w:t>la requête irrecevable.</w:t>
      </w:r>
    </w:p>
    <w:p w:rsidR="006544C4" w:rsidRPr="0016678F" w:rsidRDefault="006544C4" w:rsidP="004047FE">
      <w:pPr>
        <w:pStyle w:val="ECHRPara"/>
        <w:rPr>
          <w:sz w:val="2"/>
          <w:szCs w:val="2"/>
          <w:lang w:val="fr-FR" w:eastAsia="en-GB"/>
        </w:rPr>
      </w:pPr>
    </w:p>
    <w:p w:rsidR="006F19B0" w:rsidRPr="0016678F" w:rsidRDefault="00F40988" w:rsidP="006F19B0">
      <w:pPr>
        <w:pStyle w:val="JuParaLast"/>
        <w:rPr>
          <w:lang w:val="fr-FR"/>
        </w:rPr>
      </w:pPr>
      <w:r w:rsidRPr="0016678F">
        <w:rPr>
          <w:szCs w:val="24"/>
          <w:lang w:val="fr-FR"/>
        </w:rPr>
        <w:t xml:space="preserve">Fait en français puis communiqué par écrit le </w:t>
      </w:r>
      <w:r w:rsidR="00DC23CA">
        <w:rPr>
          <w:szCs w:val="24"/>
          <w:lang w:val="fr-FR"/>
        </w:rPr>
        <w:t>16 avril 2015</w:t>
      </w:r>
      <w:r w:rsidRPr="0016678F">
        <w:rPr>
          <w:lang w:val="fr-FR"/>
        </w:rPr>
        <w:t>.</w:t>
      </w:r>
    </w:p>
    <w:p w:rsidR="00CE6ED9" w:rsidRPr="0016678F" w:rsidRDefault="00DC23CA" w:rsidP="00B87FB1">
      <w:pPr>
        <w:pStyle w:val="JuSigned"/>
        <w:rPr>
          <w:lang w:val="fr-FR"/>
        </w:rPr>
      </w:pPr>
      <w:r w:rsidRPr="0016678F">
        <w:rPr>
          <w:lang w:val="fr-FR"/>
        </w:rPr>
        <w:tab/>
      </w:r>
      <w:r>
        <w:rPr>
          <w:lang w:val="fr-FR"/>
        </w:rPr>
        <w:t>Françoise</w:t>
      </w:r>
      <w:r w:rsidRPr="0016678F">
        <w:rPr>
          <w:lang w:val="fr-FR"/>
        </w:rPr>
        <w:t xml:space="preserve"> </w:t>
      </w:r>
      <w:r>
        <w:rPr>
          <w:lang w:val="fr-FR"/>
        </w:rPr>
        <w:t>Elens-Passos</w:t>
      </w:r>
      <w:r w:rsidR="006544C4" w:rsidRPr="0016678F">
        <w:rPr>
          <w:lang w:val="fr-FR"/>
        </w:rPr>
        <w:tab/>
      </w:r>
      <w:r>
        <w:rPr>
          <w:lang w:val="fr-FR"/>
        </w:rPr>
        <w:t>Päivi</w:t>
      </w:r>
      <w:r w:rsidRPr="0016678F">
        <w:rPr>
          <w:lang w:val="fr-FR"/>
        </w:rPr>
        <w:t xml:space="preserve"> </w:t>
      </w:r>
      <w:r>
        <w:rPr>
          <w:lang w:val="fr-FR"/>
        </w:rPr>
        <w:t>Hirvelä</w:t>
      </w:r>
      <w:r w:rsidR="006544C4" w:rsidRPr="0016678F">
        <w:rPr>
          <w:lang w:val="fr-FR"/>
        </w:rPr>
        <w:br/>
      </w:r>
      <w:r w:rsidR="006544C4" w:rsidRPr="0016678F">
        <w:rPr>
          <w:lang w:val="fr-FR"/>
        </w:rPr>
        <w:tab/>
      </w:r>
      <w:r>
        <w:rPr>
          <w:lang w:val="fr-FR"/>
        </w:rPr>
        <w:t>Greffière</w:t>
      </w:r>
      <w:r w:rsidR="006544C4" w:rsidRPr="0016678F">
        <w:rPr>
          <w:lang w:val="fr-FR"/>
        </w:rPr>
        <w:tab/>
      </w:r>
      <w:r w:rsidRPr="0016678F">
        <w:rPr>
          <w:lang w:val="fr-FR"/>
        </w:rPr>
        <w:t>Présidente</w:t>
      </w:r>
    </w:p>
    <w:p w:rsidR="00DC23CA" w:rsidRPr="0016678F" w:rsidRDefault="00DC23CA" w:rsidP="00234E8A">
      <w:pPr>
        <w:rPr>
          <w:lang w:val="fr-FR"/>
        </w:rPr>
      </w:pPr>
      <w:r w:rsidRPr="0016678F">
        <w:rPr>
          <w:lang w:val="fr-FR"/>
        </w:rPr>
        <w:br w:type="page"/>
      </w:r>
    </w:p>
    <w:p w:rsidR="00DC23CA" w:rsidRPr="0016678F" w:rsidRDefault="00DC23CA" w:rsidP="00234E8A">
      <w:pPr>
        <w:pStyle w:val="JuTitle"/>
        <w:rPr>
          <w:lang w:val="fr-FR"/>
        </w:rPr>
      </w:pPr>
    </w:p>
    <w:p w:rsidR="004D15F3" w:rsidRPr="0016678F" w:rsidRDefault="00DC23CA" w:rsidP="00234E8A">
      <w:pPr>
        <w:pStyle w:val="JuTitle"/>
        <w:rPr>
          <w:lang w:val="fr-FR"/>
        </w:rPr>
      </w:pPr>
      <w:r w:rsidRPr="0016678F">
        <w:rPr>
          <w:lang w:val="fr-FR"/>
        </w:rPr>
        <w:t>ANNEXE</w:t>
      </w:r>
    </w:p>
    <w:p w:rsidR="00DC23CA" w:rsidRPr="002725DB" w:rsidRDefault="00DC23CA" w:rsidP="00DD3422">
      <w:pPr>
        <w:rPr>
          <w:bCs/>
          <w:lang w:val="fr-FR"/>
        </w:rPr>
      </w:pPr>
    </w:p>
    <w:p w:rsidR="00DC23CA" w:rsidRDefault="00DC23CA" w:rsidP="00DD3422">
      <w:pPr>
        <w:rPr>
          <w:lang w:val="fr-FR"/>
        </w:rPr>
      </w:pPr>
    </w:p>
    <w:p w:rsidR="00DC23CA" w:rsidRPr="00371C01" w:rsidRDefault="00DC23CA" w:rsidP="00DC23CA">
      <w:pPr>
        <w:pStyle w:val="Paragrafoelenco"/>
        <w:numPr>
          <w:ilvl w:val="0"/>
          <w:numId w:val="23"/>
        </w:numPr>
        <w:tabs>
          <w:tab w:val="left" w:pos="425"/>
        </w:tabs>
        <w:ind w:left="0" w:firstLine="0"/>
        <w:rPr>
          <w:b/>
          <w:lang w:val="fr-FR"/>
        </w:rPr>
      </w:pPr>
      <w:r w:rsidRPr="00371C01">
        <w:rPr>
          <w:lang w:val="fr-FR"/>
        </w:rPr>
        <w:t>Rodolfo VIVIANI est né en 1966, résidant à Barra (Naples)</w:t>
      </w:r>
    </w:p>
    <w:p w:rsidR="00DC23CA" w:rsidRPr="00371C01" w:rsidRDefault="00DC23CA" w:rsidP="00DD3422">
      <w:pPr>
        <w:pStyle w:val="Paragrafoelenco"/>
        <w:tabs>
          <w:tab w:val="left" w:pos="425"/>
        </w:tabs>
        <w:ind w:left="0"/>
        <w:rPr>
          <w:b/>
          <w:lang w:val="fr-FR"/>
        </w:rPr>
      </w:pPr>
    </w:p>
    <w:p w:rsidR="00DC23CA" w:rsidRPr="00371C01" w:rsidRDefault="00DC23CA" w:rsidP="00DC23CA">
      <w:pPr>
        <w:pStyle w:val="Paragrafoelenco"/>
        <w:numPr>
          <w:ilvl w:val="0"/>
          <w:numId w:val="23"/>
        </w:numPr>
        <w:tabs>
          <w:tab w:val="left" w:pos="425"/>
        </w:tabs>
        <w:ind w:left="0" w:firstLine="0"/>
        <w:rPr>
          <w:b/>
          <w:lang w:val="fr-FR"/>
        </w:rPr>
      </w:pPr>
      <w:r w:rsidRPr="00371C01">
        <w:rPr>
          <w:lang w:val="fr-FR"/>
        </w:rPr>
        <w:t>Francesco BARTIROMO est né en 1977, résidant à Portici (Naples)</w:t>
      </w:r>
    </w:p>
    <w:p w:rsidR="00DC23CA" w:rsidRPr="00371C01" w:rsidRDefault="00DC23CA" w:rsidP="00DD3422">
      <w:pPr>
        <w:pStyle w:val="Paragrafoelenco"/>
        <w:tabs>
          <w:tab w:val="left" w:pos="425"/>
        </w:tabs>
        <w:ind w:left="0"/>
        <w:rPr>
          <w:b/>
          <w:lang w:val="fr-FR"/>
        </w:rPr>
      </w:pPr>
    </w:p>
    <w:p w:rsidR="00DC23CA" w:rsidRDefault="00DC23CA" w:rsidP="00DC23CA">
      <w:pPr>
        <w:pStyle w:val="Paragrafoelenco"/>
        <w:numPr>
          <w:ilvl w:val="0"/>
          <w:numId w:val="23"/>
        </w:numPr>
        <w:tabs>
          <w:tab w:val="left" w:pos="425"/>
        </w:tabs>
        <w:ind w:left="0" w:firstLine="0"/>
        <w:rPr>
          <w:lang w:val="fr-FR"/>
        </w:rPr>
      </w:pPr>
      <w:r w:rsidRPr="00371C01">
        <w:rPr>
          <w:lang w:val="fr-FR"/>
        </w:rPr>
        <w:t>Valentina BILGINI est née en 1984, résidant à Naples</w:t>
      </w:r>
    </w:p>
    <w:p w:rsidR="00DC23CA" w:rsidRPr="00371C01" w:rsidRDefault="00DC23CA" w:rsidP="00DD3422">
      <w:pPr>
        <w:pStyle w:val="Paragrafoelenco"/>
        <w:tabs>
          <w:tab w:val="left" w:pos="425"/>
        </w:tabs>
        <w:ind w:left="0"/>
        <w:rPr>
          <w:b/>
          <w:lang w:val="fr-FR"/>
        </w:rPr>
      </w:pPr>
    </w:p>
    <w:p w:rsidR="00DC23CA" w:rsidRPr="00371C01" w:rsidRDefault="00DC23CA" w:rsidP="00DC23CA">
      <w:pPr>
        <w:pStyle w:val="Paragrafoelenco"/>
        <w:numPr>
          <w:ilvl w:val="0"/>
          <w:numId w:val="23"/>
        </w:numPr>
        <w:tabs>
          <w:tab w:val="left" w:pos="425"/>
        </w:tabs>
        <w:ind w:left="0" w:firstLine="0"/>
        <w:rPr>
          <w:b/>
          <w:lang w:val="fr-FR"/>
        </w:rPr>
      </w:pPr>
      <w:r w:rsidRPr="00371C01">
        <w:rPr>
          <w:lang w:val="fr-FR"/>
        </w:rPr>
        <w:t xml:space="preserve">Anna BOTTONE est née en 1984, résidant à Pompei </w:t>
      </w:r>
      <w:r w:rsidRPr="00D25A8A">
        <w:rPr>
          <w:lang w:val="fr-FR"/>
        </w:rPr>
        <w:t>(Naples)</w:t>
      </w:r>
    </w:p>
    <w:p w:rsidR="00DC23CA" w:rsidRPr="00371C01" w:rsidRDefault="00DC23CA" w:rsidP="00DD3422">
      <w:pPr>
        <w:pStyle w:val="Paragrafoelenco"/>
        <w:tabs>
          <w:tab w:val="left" w:pos="425"/>
        </w:tabs>
        <w:ind w:left="0"/>
        <w:rPr>
          <w:b/>
          <w:lang w:val="fr-FR"/>
        </w:rPr>
      </w:pPr>
    </w:p>
    <w:p w:rsidR="00DC23CA" w:rsidRPr="00371C01" w:rsidRDefault="00DC23CA" w:rsidP="00DC23CA">
      <w:pPr>
        <w:pStyle w:val="Paragrafoelenco"/>
        <w:numPr>
          <w:ilvl w:val="0"/>
          <w:numId w:val="23"/>
        </w:numPr>
        <w:tabs>
          <w:tab w:val="left" w:pos="425"/>
        </w:tabs>
        <w:ind w:left="0" w:firstLine="0"/>
        <w:rPr>
          <w:b/>
          <w:lang w:val="fr-FR"/>
        </w:rPr>
      </w:pPr>
      <w:r w:rsidRPr="00371C01">
        <w:rPr>
          <w:lang w:val="fr-FR"/>
        </w:rPr>
        <w:t>Livia CASCIANO est née en 1981, résidant à Scafati (Salerne)</w:t>
      </w:r>
    </w:p>
    <w:p w:rsidR="00DC23CA" w:rsidRPr="00371C01" w:rsidRDefault="00DC23CA" w:rsidP="00DD3422">
      <w:pPr>
        <w:pStyle w:val="Paragrafoelenco"/>
        <w:tabs>
          <w:tab w:val="left" w:pos="425"/>
        </w:tabs>
        <w:ind w:left="0"/>
        <w:rPr>
          <w:b/>
          <w:lang w:val="fr-FR"/>
        </w:rPr>
      </w:pPr>
    </w:p>
    <w:p w:rsidR="00DC23CA" w:rsidRPr="00534AC3" w:rsidRDefault="00DC23CA" w:rsidP="00DC23CA">
      <w:pPr>
        <w:pStyle w:val="Paragrafoelenco"/>
        <w:numPr>
          <w:ilvl w:val="0"/>
          <w:numId w:val="23"/>
        </w:numPr>
        <w:tabs>
          <w:tab w:val="left" w:pos="425"/>
        </w:tabs>
        <w:ind w:left="0" w:firstLine="0"/>
        <w:rPr>
          <w:lang w:val="fr-FR"/>
        </w:rPr>
      </w:pPr>
      <w:r w:rsidRPr="00534AC3">
        <w:rPr>
          <w:lang w:val="fr-FR"/>
        </w:rPr>
        <w:t>Luigi COSTABILE est né en 1956, résidant à Pomigliano d</w:t>
      </w:r>
      <w:r w:rsidR="008D0C03">
        <w:rPr>
          <w:lang w:val="fr-FR"/>
        </w:rPr>
        <w:t>’</w:t>
      </w:r>
      <w:r w:rsidRPr="00534AC3">
        <w:rPr>
          <w:lang w:val="fr-FR"/>
        </w:rPr>
        <w:t>Arco (Naples)</w:t>
      </w:r>
    </w:p>
    <w:p w:rsidR="00DC23CA" w:rsidRPr="00534AC3" w:rsidRDefault="00DC23CA" w:rsidP="00DD3422">
      <w:pPr>
        <w:pStyle w:val="Paragrafoelenco"/>
        <w:tabs>
          <w:tab w:val="left" w:pos="425"/>
        </w:tabs>
        <w:ind w:left="0"/>
        <w:rPr>
          <w:b/>
          <w:lang w:val="fr-FR"/>
        </w:rPr>
      </w:pPr>
    </w:p>
    <w:p w:rsidR="00DC23CA" w:rsidRPr="00534AC3" w:rsidRDefault="00DC23CA" w:rsidP="00DC23CA">
      <w:pPr>
        <w:pStyle w:val="Paragrafoelenco"/>
        <w:numPr>
          <w:ilvl w:val="0"/>
          <w:numId w:val="23"/>
        </w:numPr>
        <w:tabs>
          <w:tab w:val="left" w:pos="425"/>
        </w:tabs>
        <w:ind w:left="0" w:firstLine="0"/>
        <w:rPr>
          <w:lang w:val="fr-FR"/>
        </w:rPr>
      </w:pPr>
      <w:r w:rsidRPr="00534AC3">
        <w:rPr>
          <w:lang w:val="fr-FR"/>
        </w:rPr>
        <w:t>Elena GUASTAFERRO est née en 1987, résidant à Torre del Greco (Naples)</w:t>
      </w:r>
    </w:p>
    <w:p w:rsidR="00DC23CA" w:rsidRPr="00534AC3" w:rsidRDefault="00DC23CA" w:rsidP="00DD3422">
      <w:pPr>
        <w:pStyle w:val="Paragrafoelenco"/>
        <w:tabs>
          <w:tab w:val="left" w:pos="425"/>
        </w:tabs>
        <w:ind w:left="0"/>
        <w:rPr>
          <w:b/>
          <w:lang w:val="fr-FR"/>
        </w:rPr>
      </w:pPr>
    </w:p>
    <w:p w:rsidR="00DC23CA" w:rsidRDefault="00DC23CA" w:rsidP="00DC23CA">
      <w:pPr>
        <w:pStyle w:val="Paragrafoelenco"/>
        <w:numPr>
          <w:ilvl w:val="0"/>
          <w:numId w:val="23"/>
        </w:numPr>
        <w:tabs>
          <w:tab w:val="left" w:pos="425"/>
        </w:tabs>
        <w:ind w:left="0" w:firstLine="0"/>
        <w:rPr>
          <w:lang w:val="fr-FR"/>
        </w:rPr>
      </w:pPr>
      <w:r w:rsidRPr="00371C01">
        <w:rPr>
          <w:lang w:val="fr-FR"/>
        </w:rPr>
        <w:t>Anna IUPPARIELLO est née en 1986, résidant à Naples</w:t>
      </w:r>
    </w:p>
    <w:p w:rsidR="00DC23CA" w:rsidRPr="00371C01" w:rsidRDefault="00DC23CA" w:rsidP="00DD3422">
      <w:pPr>
        <w:pStyle w:val="Paragrafoelenco"/>
        <w:tabs>
          <w:tab w:val="left" w:pos="425"/>
        </w:tabs>
        <w:ind w:left="0"/>
        <w:rPr>
          <w:b/>
          <w:lang w:val="fr-FR"/>
        </w:rPr>
      </w:pPr>
    </w:p>
    <w:p w:rsidR="00DC23CA" w:rsidRDefault="00DC23CA" w:rsidP="00DC23CA">
      <w:pPr>
        <w:pStyle w:val="Paragrafoelenco"/>
        <w:numPr>
          <w:ilvl w:val="0"/>
          <w:numId w:val="23"/>
        </w:numPr>
        <w:tabs>
          <w:tab w:val="left" w:pos="425"/>
        </w:tabs>
        <w:ind w:left="0" w:firstLine="0"/>
        <w:rPr>
          <w:lang w:val="it-IT"/>
        </w:rPr>
      </w:pPr>
      <w:r w:rsidRPr="007C6947">
        <w:rPr>
          <w:lang w:val="it-IT"/>
        </w:rPr>
        <w:t>Pierluigi RAZZANO est né en 1976, résidant à San Giorgio a Cremano (Naples)</w:t>
      </w:r>
    </w:p>
    <w:p w:rsidR="00DC23CA" w:rsidRPr="007C6947" w:rsidRDefault="00DC23CA" w:rsidP="00DD3422">
      <w:pPr>
        <w:pStyle w:val="Paragrafoelenco"/>
        <w:tabs>
          <w:tab w:val="left" w:pos="425"/>
        </w:tabs>
        <w:ind w:left="0"/>
        <w:rPr>
          <w:b/>
          <w:lang w:val="it-IT"/>
        </w:rPr>
      </w:pPr>
    </w:p>
    <w:p w:rsidR="00DC23CA" w:rsidRDefault="00DC23CA" w:rsidP="00DC23CA">
      <w:pPr>
        <w:pStyle w:val="Paragrafoelenco"/>
        <w:numPr>
          <w:ilvl w:val="0"/>
          <w:numId w:val="23"/>
        </w:numPr>
        <w:tabs>
          <w:tab w:val="left" w:pos="425"/>
        </w:tabs>
        <w:ind w:left="0" w:firstLine="0"/>
        <w:rPr>
          <w:lang w:val="fr-FR"/>
        </w:rPr>
      </w:pPr>
      <w:r w:rsidRPr="00371C01">
        <w:rPr>
          <w:lang w:val="fr-FR"/>
        </w:rPr>
        <w:t>Antonietta SALVATI est née en 1988, résidant à Naples</w:t>
      </w:r>
    </w:p>
    <w:p w:rsidR="00DC23CA" w:rsidRPr="00371C01" w:rsidRDefault="00DC23CA" w:rsidP="00DD3422">
      <w:pPr>
        <w:pStyle w:val="Paragrafoelenco"/>
        <w:tabs>
          <w:tab w:val="left" w:pos="425"/>
        </w:tabs>
        <w:ind w:left="0"/>
        <w:rPr>
          <w:b/>
          <w:lang w:val="fr-FR"/>
        </w:rPr>
      </w:pPr>
    </w:p>
    <w:p w:rsidR="00DC23CA" w:rsidRPr="00534AC3" w:rsidRDefault="00DC23CA" w:rsidP="00DC23CA">
      <w:pPr>
        <w:pStyle w:val="Paragrafoelenco"/>
        <w:numPr>
          <w:ilvl w:val="0"/>
          <w:numId w:val="23"/>
        </w:numPr>
        <w:tabs>
          <w:tab w:val="left" w:pos="425"/>
        </w:tabs>
        <w:ind w:left="0" w:firstLine="0"/>
        <w:rPr>
          <w:lang w:val="fr-FR"/>
        </w:rPr>
      </w:pPr>
      <w:r w:rsidRPr="00534AC3">
        <w:rPr>
          <w:lang w:val="fr-FR"/>
        </w:rPr>
        <w:t>Giacinto Maria SERRAPICA est né en 1984, résidant à Torre Annunziata (Naples)</w:t>
      </w:r>
    </w:p>
    <w:p w:rsidR="00DC23CA" w:rsidRPr="00534AC3" w:rsidRDefault="00DC23CA" w:rsidP="00DD3422">
      <w:pPr>
        <w:pStyle w:val="Paragrafoelenco"/>
        <w:tabs>
          <w:tab w:val="left" w:pos="425"/>
        </w:tabs>
        <w:ind w:left="0"/>
        <w:rPr>
          <w:b/>
          <w:lang w:val="fr-FR"/>
        </w:rPr>
      </w:pPr>
    </w:p>
    <w:p w:rsidR="00DC23CA" w:rsidRPr="00BF5E28" w:rsidRDefault="00DC23CA" w:rsidP="00DC23CA">
      <w:pPr>
        <w:pStyle w:val="Paragrafoelenco"/>
        <w:numPr>
          <w:ilvl w:val="0"/>
          <w:numId w:val="23"/>
        </w:numPr>
        <w:tabs>
          <w:tab w:val="left" w:pos="425"/>
        </w:tabs>
        <w:ind w:left="0" w:firstLine="0"/>
        <w:rPr>
          <w:b/>
          <w:lang w:val="it-IT"/>
        </w:rPr>
      </w:pPr>
      <w:r w:rsidRPr="00BF5E28">
        <w:rPr>
          <w:lang w:val="it-IT"/>
        </w:rPr>
        <w:t>Rosa STORNO BOCCIA est née en 1985, rési</w:t>
      </w:r>
      <w:r>
        <w:rPr>
          <w:lang w:val="it-IT"/>
        </w:rPr>
        <w:t>dant à San Gennaro Vesuviano (</w:t>
      </w:r>
      <w:r w:rsidRPr="00BF5E28">
        <w:rPr>
          <w:lang w:val="it-IT"/>
        </w:rPr>
        <w:t>Naples</w:t>
      </w:r>
      <w:r>
        <w:rPr>
          <w:lang w:val="it-IT"/>
        </w:rPr>
        <w:t>)</w:t>
      </w:r>
    </w:p>
    <w:p w:rsidR="00DC23CA" w:rsidRPr="004A24B3" w:rsidRDefault="00DC23CA" w:rsidP="00DD3422">
      <w:pPr>
        <w:rPr>
          <w:szCs w:val="24"/>
          <w:lang w:val="it-IT"/>
        </w:rPr>
      </w:pPr>
    </w:p>
    <w:p w:rsidR="00234E8A" w:rsidRPr="00DD3422" w:rsidRDefault="00234E8A" w:rsidP="00234E8A">
      <w:pPr>
        <w:rPr>
          <w:lang w:val="it-IT"/>
        </w:rPr>
      </w:pPr>
    </w:p>
    <w:sectPr w:rsidR="00234E8A" w:rsidRPr="00DD3422" w:rsidSect="00AF7102">
      <w:headerReference w:type="even" r:id="rId12"/>
      <w:headerReference w:type="default" r:id="rId13"/>
      <w:headerReference w:type="first" r:id="rId14"/>
      <w:footerReference w:type="first" r:id="rId15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422" w:rsidRDefault="00DD3422" w:rsidP="006544C4">
      <w:r>
        <w:separator/>
      </w:r>
    </w:p>
  </w:endnote>
  <w:endnote w:type="continuationSeparator" w:id="0">
    <w:p w:rsidR="00DD3422" w:rsidRDefault="00DD3422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22" w:rsidRPr="00150BFA" w:rsidRDefault="00DD3422" w:rsidP="00DD3422">
    <w:pPr>
      <w:jc w:val="center"/>
    </w:pPr>
    <w:r>
      <w:rPr>
        <w:noProof/>
        <w:lang w:val="fr-FR" w:eastAsia="fr-FR"/>
      </w:rPr>
      <w:drawing>
        <wp:inline distT="0" distB="0" distL="0" distR="0" wp14:anchorId="326325CF" wp14:editId="20AE3990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3422" w:rsidRPr="00633A19" w:rsidRDefault="00DD3422" w:rsidP="00DD3422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422" w:rsidRDefault="00DD3422" w:rsidP="006544C4">
      <w:r>
        <w:separator/>
      </w:r>
    </w:p>
  </w:footnote>
  <w:footnote w:type="continuationSeparator" w:id="0">
    <w:p w:rsidR="00DD3422" w:rsidRDefault="00DD3422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22" w:rsidRPr="00DC23CA" w:rsidRDefault="00DD3422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DC23CA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4E3153">
      <w:rPr>
        <w:rStyle w:val="Numeropagina"/>
        <w:noProof/>
        <w:lang w:val="fr-FR"/>
      </w:rPr>
      <w:t>10</w:t>
    </w:r>
    <w:r>
      <w:rPr>
        <w:rStyle w:val="Numeropagina"/>
        <w:lang w:val="en-GB"/>
      </w:rPr>
      <w:fldChar w:fldCharType="end"/>
    </w:r>
    <w:r w:rsidRPr="00DC23CA">
      <w:rPr>
        <w:lang w:val="fr-FR"/>
      </w:rPr>
      <w:tab/>
      <w:t>DÉCISION VIVIANI ET AUTRES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22" w:rsidRPr="00DC23CA" w:rsidRDefault="00DD3422" w:rsidP="006544C4">
    <w:pPr>
      <w:pStyle w:val="ECHRHeader"/>
      <w:rPr>
        <w:lang w:val="fr-FR"/>
      </w:rPr>
    </w:pPr>
    <w:r>
      <w:tab/>
    </w:r>
    <w:r w:rsidRPr="00DC23CA">
      <w:rPr>
        <w:lang w:val="fr-FR"/>
      </w:rPr>
      <w:t>DÉCISION VIVIANI ET AUTRES c. ITALIE</w:t>
    </w:r>
    <w:r w:rsidRPr="00DC23CA">
      <w:rPr>
        <w:lang w:val="fr-FR"/>
      </w:rPr>
      <w:tab/>
    </w:r>
    <w:r>
      <w:rPr>
        <w:rStyle w:val="Numeropagina"/>
        <w:lang w:val="en-GB"/>
      </w:rPr>
      <w:fldChar w:fldCharType="begin"/>
    </w:r>
    <w:r w:rsidRPr="00DC23CA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4E3153">
      <w:rPr>
        <w:rStyle w:val="Numeropagina"/>
        <w:noProof/>
        <w:lang w:val="fr-FR"/>
      </w:rPr>
      <w:t>11</w:t>
    </w:r>
    <w:r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22" w:rsidRPr="00A45145" w:rsidRDefault="00DD3422" w:rsidP="00DD3422">
    <w:pPr>
      <w:jc w:val="center"/>
    </w:pPr>
    <w:r>
      <w:rPr>
        <w:noProof/>
        <w:lang w:val="fr-FR" w:eastAsia="fr-FR"/>
      </w:rPr>
      <w:drawing>
        <wp:inline distT="0" distB="0" distL="0" distR="0" wp14:anchorId="0D9CBAF4" wp14:editId="50BCEB9F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3422" w:rsidRDefault="00DD3422" w:rsidP="00DD3422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BDC0736"/>
    <w:multiLevelType w:val="hybridMultilevel"/>
    <w:tmpl w:val="17208720"/>
    <w:lvl w:ilvl="0" w:tplc="605C3F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3"/>
    <w:docVar w:name="SignForeName" w:val="0"/>
  </w:docVars>
  <w:rsids>
    <w:rsidRoot w:val="00DC23CA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DC1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50B4C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E3153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34AC3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004A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0C03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4A97"/>
    <w:rsid w:val="00936CD1"/>
    <w:rsid w:val="00941747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3CA"/>
    <w:rsid w:val="00DC2AB9"/>
    <w:rsid w:val="00DC63F0"/>
    <w:rsid w:val="00DD3422"/>
    <w:rsid w:val="00DD6EE5"/>
    <w:rsid w:val="00DE386C"/>
    <w:rsid w:val="00DE4D35"/>
    <w:rsid w:val="00DF098B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8" w:qFormat="1"/>
    <w:lsdException w:name="heading 2" w:uiPriority="98" w:unhideWhenUsed="1" w:qFormat="1"/>
    <w:lsdException w:name="heading 3" w:uiPriority="98" w:unhideWhenUsed="1" w:qFormat="1"/>
    <w:lsdException w:name="heading 4" w:uiPriority="98" w:unhideWhenUsed="1" w:qFormat="1"/>
    <w:lsdException w:name="heading 5" w:unhideWhenUsed="1" w:qFormat="1"/>
    <w:lsdException w:name="heading 6" w:uiPriority="98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footnote text" w:uiPriority="95" w:unhideWhenUsed="1"/>
    <w:lsdException w:name="annotation text" w:uiPriority="0"/>
    <w:lsdException w:name="header" w:uiPriority="82" w:unhideWhenUsed="1"/>
    <w:lsdException w:name="footer" w:uiPriority="83" w:unhideWhenUsed="1"/>
    <w:lsdException w:name="caption" w:qFormat="1"/>
    <w:lsdException w:name="footnote reference" w:uiPriority="95" w:unhideWhenUsed="1"/>
    <w:lsdException w:name="List Bullet 3" w:uiPriority="0"/>
    <w:lsdException w:name="Title" w:semiHidden="0" w:qFormat="1"/>
    <w:lsdException w:name="Default Paragraph Font" w:uiPriority="1" w:unhideWhenUsed="1"/>
    <w:lsdException w:name="Subtitle" w:qFormat="1"/>
    <w:lsdException w:name="Hyperlink" w:unhideWhenUsed="1"/>
    <w:lsdException w:name="Strong" w:semiHidden="0" w:qFormat="1"/>
    <w:lsdException w:name="Emphasis" w:semiHidden="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TOC Heading" w:unhideWhenUsed="1" w:qFormat="1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Ind w:w="0" w:type="dxa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bottom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Ind w:w="0" w:type="dxa"/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Ind w:w="0" w:type="dxa"/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left w:w="108" w:type="dxa"/>
        <w:bottom w:w="142" w:type="dxa"/>
        <w:right w:w="108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Ind w:w="0" w:type="dxa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Ind w:w="0" w:type="dxa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left w:w="108" w:type="dxa"/>
        <w:bottom w:w="57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Para,N_Para,Left,First line:  0 cm,First line:  0 cm + Première ligne : 0,66 cm,Interligne : Double"/>
    <w:basedOn w:val="Normale"/>
    <w:link w:val="ECHRParaChar"/>
    <w:uiPriority w:val="12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Ind w:w="0" w:type="dxa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Ind w:w="0" w:type="dxa"/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Ind w:w="0" w:type="dxa"/>
      <w:tblCellMar>
        <w:top w:w="113" w:type="dxa"/>
        <w:left w:w="108" w:type="dxa"/>
        <w:bottom w:w="28" w:type="dxa"/>
        <w:right w:w="10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top w:w="0" w:type="dxa"/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character" w:customStyle="1" w:styleId="ECHRParaChar">
    <w:name w:val="ECHR_Para Char"/>
    <w:aliases w:val="Para Char"/>
    <w:basedOn w:val="NessunaspaziaturaCarattere"/>
    <w:link w:val="ECHRPara"/>
    <w:uiPriority w:val="12"/>
    <w:rsid w:val="00DC23CA"/>
    <w:rPr>
      <w:rFonts w:eastAsiaTheme="minorEastAsia"/>
      <w:sz w:val="24"/>
    </w:rPr>
  </w:style>
  <w:style w:type="character" w:customStyle="1" w:styleId="s6b621b36">
    <w:name w:val="s6b621b36"/>
    <w:basedOn w:val="Carpredefinitoparagrafo"/>
    <w:rsid w:val="00DC23CA"/>
  </w:style>
  <w:style w:type="character" w:customStyle="1" w:styleId="sea881cdf">
    <w:name w:val="sea881cdf"/>
    <w:basedOn w:val="Carpredefinitoparagrafo"/>
    <w:rsid w:val="00DC23CA"/>
  </w:style>
  <w:style w:type="character" w:customStyle="1" w:styleId="s7d2086b4">
    <w:name w:val="s7d2086b4"/>
    <w:basedOn w:val="Carpredefinitoparagrafo"/>
    <w:rsid w:val="00DC2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8" w:qFormat="1"/>
    <w:lsdException w:name="heading 2" w:uiPriority="98" w:unhideWhenUsed="1" w:qFormat="1"/>
    <w:lsdException w:name="heading 3" w:uiPriority="98" w:unhideWhenUsed="1" w:qFormat="1"/>
    <w:lsdException w:name="heading 4" w:uiPriority="98" w:unhideWhenUsed="1" w:qFormat="1"/>
    <w:lsdException w:name="heading 5" w:unhideWhenUsed="1" w:qFormat="1"/>
    <w:lsdException w:name="heading 6" w:uiPriority="98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footnote text" w:uiPriority="95" w:unhideWhenUsed="1"/>
    <w:lsdException w:name="annotation text" w:uiPriority="0"/>
    <w:lsdException w:name="header" w:uiPriority="82" w:unhideWhenUsed="1"/>
    <w:lsdException w:name="footer" w:uiPriority="83" w:unhideWhenUsed="1"/>
    <w:lsdException w:name="caption" w:qFormat="1"/>
    <w:lsdException w:name="footnote reference" w:uiPriority="95" w:unhideWhenUsed="1"/>
    <w:lsdException w:name="List Bullet 3" w:uiPriority="0"/>
    <w:lsdException w:name="Title" w:semiHidden="0" w:qFormat="1"/>
    <w:lsdException w:name="Default Paragraph Font" w:uiPriority="1" w:unhideWhenUsed="1"/>
    <w:lsdException w:name="Subtitle" w:qFormat="1"/>
    <w:lsdException w:name="Hyperlink" w:unhideWhenUsed="1"/>
    <w:lsdException w:name="Strong" w:semiHidden="0" w:qFormat="1"/>
    <w:lsdException w:name="Emphasis" w:semiHidden="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TOC Heading" w:unhideWhenUsed="1" w:qFormat="1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Ind w:w="0" w:type="dxa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bottom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Ind w:w="0" w:type="dxa"/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Ind w:w="0" w:type="dxa"/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left w:w="108" w:type="dxa"/>
        <w:bottom w:w="142" w:type="dxa"/>
        <w:right w:w="108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Ind w:w="0" w:type="dxa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Ind w:w="0" w:type="dxa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left w:w="108" w:type="dxa"/>
        <w:bottom w:w="57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Para,N_Para,Left,First line:  0 cm,First line:  0 cm + Première ligne : 0,66 cm,Interligne : Double"/>
    <w:basedOn w:val="Normale"/>
    <w:link w:val="ECHRParaChar"/>
    <w:uiPriority w:val="12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Ind w:w="0" w:type="dxa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Ind w:w="0" w:type="dxa"/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Ind w:w="0" w:type="dxa"/>
      <w:tblCellMar>
        <w:top w:w="113" w:type="dxa"/>
        <w:left w:w="108" w:type="dxa"/>
        <w:bottom w:w="28" w:type="dxa"/>
        <w:right w:w="10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top w:w="0" w:type="dxa"/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character" w:customStyle="1" w:styleId="ECHRParaChar">
    <w:name w:val="ECHR_Para Char"/>
    <w:aliases w:val="Para Char"/>
    <w:basedOn w:val="NessunaspaziaturaCarattere"/>
    <w:link w:val="ECHRPara"/>
    <w:uiPriority w:val="12"/>
    <w:rsid w:val="00DC23CA"/>
    <w:rPr>
      <w:rFonts w:eastAsiaTheme="minorEastAsia"/>
      <w:sz w:val="24"/>
    </w:rPr>
  </w:style>
  <w:style w:type="character" w:customStyle="1" w:styleId="s6b621b36">
    <w:name w:val="s6b621b36"/>
    <w:basedOn w:val="Carpredefinitoparagrafo"/>
    <w:rsid w:val="00DC23CA"/>
  </w:style>
  <w:style w:type="character" w:customStyle="1" w:styleId="sea881cdf">
    <w:name w:val="sea881cdf"/>
    <w:basedOn w:val="Carpredefinitoparagrafo"/>
    <w:rsid w:val="00DC23CA"/>
  </w:style>
  <w:style w:type="character" w:customStyle="1" w:styleId="s7d2086b4">
    <w:name w:val="s7d2086b4"/>
    <w:basedOn w:val="Carpredefinitoparagrafo"/>
    <w:rsid w:val="00DC2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0AFA6-E4E4-4FFA-8190-E4A730383342}">
  <ds:schemaRefs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0975294-2DE1-4F26-8516-71D3240A1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BCDA62-55C9-42BC-8EA2-C2CB37E659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6B43BE-05AC-4955-ADEA-891472AB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3600</Words>
  <Characters>19802</Characters>
  <Application>Microsoft Office Word</Application>
  <DocSecurity>4</DocSecurity>
  <Lines>165</Lines>
  <Paragraphs>46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LinksUpToDate>false</LinksUpToDate>
  <CharactersWithSpaces>23356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2015-04-16T08:31:00Z</dcterms:created>
  <dcterms:modified xsi:type="dcterms:W3CDTF">2015-04-16T08:31:00Z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9713/13</vt:lpwstr>
  </property>
  <property fmtid="{D5CDD505-2E9C-101B-9397-08002B2CF9AE}" pid="4" name="CASEID">
    <vt:lpwstr>860205</vt:lpwstr>
  </property>
  <property fmtid="{D5CDD505-2E9C-101B-9397-08002B2CF9AE}" pid="5" name="OrigTemp">
    <vt:lpwstr>French\Documents\DF01 Decisions et Rapports\Reports automation IT ONLY\Décision.dotx</vt:lpwstr>
  </property>
</Properties>
</file>